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28B6" w:rsidRDefault="009F28B6" w:rsidP="009F28B6">
      <w:pPr>
        <w:pStyle w:val="Heading1"/>
        <w:jc w:val="center"/>
      </w:pPr>
      <w:bookmarkStart w:id="0" w:name="_Toc451439494"/>
      <w:bookmarkStart w:id="1" w:name="_GoBack"/>
      <w:bookmarkEnd w:id="1"/>
      <w:r>
        <w:t>Raportul Anual de Implementare POAT 2014-2020, aferent anului 201</w:t>
      </w:r>
      <w:r w:rsidR="00705C91">
        <w:t>7</w:t>
      </w:r>
    </w:p>
    <w:p w:rsidR="00D9599A" w:rsidRPr="00F177FB" w:rsidRDefault="00D9599A" w:rsidP="009F28B6">
      <w:pPr>
        <w:pStyle w:val="Heading1"/>
        <w:jc w:val="center"/>
        <w:rPr>
          <w:u w:val="single"/>
        </w:rPr>
      </w:pPr>
      <w:r w:rsidRPr="00F177FB">
        <w:rPr>
          <w:u w:val="single"/>
        </w:rPr>
        <w:t>Rezumat pentru cetățeni</w:t>
      </w:r>
      <w:bookmarkEnd w:id="0"/>
    </w:p>
    <w:p w:rsidR="00317D3E" w:rsidRPr="00317D3E" w:rsidRDefault="00317D3E" w:rsidP="00886FF2">
      <w:pPr>
        <w:spacing w:after="0"/>
      </w:pPr>
    </w:p>
    <w:p w:rsidR="008E1189" w:rsidRDefault="00886FF2" w:rsidP="0061492A">
      <w:pPr>
        <w:spacing w:after="0"/>
        <w:jc w:val="both"/>
      </w:pPr>
      <w:r w:rsidRPr="00CE621D">
        <w:rPr>
          <w:b/>
        </w:rPr>
        <w:t>Programul Operaţional Asistenţă Tehnică 2014 – 2020 (POAT)</w:t>
      </w:r>
      <w:r w:rsidR="00A4651E">
        <w:t xml:space="preserve"> a fost</w:t>
      </w:r>
      <w:r>
        <w:t xml:space="preserve"> aprobat </w:t>
      </w:r>
      <w:r w:rsidR="00A4651E">
        <w:t>de Comisia European</w:t>
      </w:r>
      <w:r w:rsidR="00C867EB">
        <w:t>ă</w:t>
      </w:r>
      <w:r w:rsidR="00A4651E">
        <w:t xml:space="preserve"> în data de 18.12.2014 prin Decizia CE nr. C(2014) 10221 şi </w:t>
      </w:r>
      <w:r w:rsidR="0061492A">
        <w:t xml:space="preserve">a fost lansat </w:t>
      </w:r>
      <w:r w:rsidRPr="000D5ED9">
        <w:t>în a</w:t>
      </w:r>
      <w:r w:rsidR="0061492A">
        <w:t>nul 2015</w:t>
      </w:r>
      <w:r w:rsidR="00A4651E">
        <w:t xml:space="preserve">. </w:t>
      </w:r>
    </w:p>
    <w:p w:rsidR="008E1189" w:rsidRDefault="008E1189" w:rsidP="0061492A">
      <w:pPr>
        <w:spacing w:after="0"/>
        <w:jc w:val="both"/>
      </w:pPr>
    </w:p>
    <w:p w:rsidR="00886FF2" w:rsidRDefault="0061492A" w:rsidP="0061492A">
      <w:pPr>
        <w:spacing w:after="0"/>
        <w:jc w:val="both"/>
      </w:pPr>
      <w:r w:rsidRPr="007E18EE">
        <w:rPr>
          <w:b/>
        </w:rPr>
        <w:t>Obiectivul</w:t>
      </w:r>
      <w:r>
        <w:t xml:space="preserve"> POAT este </w:t>
      </w:r>
      <w:r w:rsidRPr="007E18EE">
        <w:rPr>
          <w:i/>
        </w:rPr>
        <w:t>de a asigura sprijinul necesar implementării eficiente şi transparente a fondurilor ESI alocate României în cadrul Politicii de Coeziune a UE.</w:t>
      </w:r>
    </w:p>
    <w:p w:rsidR="00DB65D6" w:rsidRDefault="00DB65D6" w:rsidP="0061492A">
      <w:pPr>
        <w:spacing w:after="0"/>
        <w:jc w:val="both"/>
      </w:pPr>
    </w:p>
    <w:p w:rsidR="009D48A1" w:rsidRDefault="009D48A1" w:rsidP="009D48A1">
      <w:pPr>
        <w:spacing w:after="0"/>
        <w:jc w:val="both"/>
      </w:pPr>
      <w:r w:rsidRPr="00CE621D">
        <w:rPr>
          <w:b/>
        </w:rPr>
        <w:t xml:space="preserve">Alocarea </w:t>
      </w:r>
      <w:r w:rsidR="00584BF5">
        <w:rPr>
          <w:b/>
        </w:rPr>
        <w:t>FEDR</w:t>
      </w:r>
      <w:r>
        <w:t xml:space="preserve"> pentru </w:t>
      </w:r>
      <w:r w:rsidR="00C867EB">
        <w:t>POAT</w:t>
      </w:r>
      <w:r>
        <w:t xml:space="preserve"> este de 212.765.958 euro</w:t>
      </w:r>
      <w:r w:rsidR="00C867EB">
        <w:t>,</w:t>
      </w:r>
      <w:r>
        <w:t xml:space="preserve"> la care se adaugă contribuția națională 38.448.062 euro, rezultând o alocare totală de </w:t>
      </w:r>
      <w:r w:rsidRPr="009D48A1">
        <w:rPr>
          <w:b/>
        </w:rPr>
        <w:t>251.214.020</w:t>
      </w:r>
      <w:r>
        <w:t xml:space="preserve"> </w:t>
      </w:r>
      <w:r w:rsidRPr="00D75B0A">
        <w:rPr>
          <w:b/>
        </w:rPr>
        <w:t>euro</w:t>
      </w:r>
      <w:r>
        <w:t>.</w:t>
      </w:r>
    </w:p>
    <w:p w:rsidR="00A4651E" w:rsidRDefault="00A4651E" w:rsidP="0061492A">
      <w:pPr>
        <w:spacing w:after="0"/>
        <w:jc w:val="both"/>
      </w:pPr>
    </w:p>
    <w:p w:rsidR="002A7356" w:rsidRDefault="001C3FBF" w:rsidP="001C3FBF">
      <w:pPr>
        <w:spacing w:after="200" w:line="276" w:lineRule="auto"/>
        <w:jc w:val="both"/>
      </w:pPr>
      <w:r w:rsidRPr="009F28B6">
        <w:rPr>
          <w:rFonts w:cs="Arial"/>
        </w:rPr>
        <w:t>Până la 31 decembrie 201</w:t>
      </w:r>
      <w:r w:rsidR="00705C91">
        <w:rPr>
          <w:rFonts w:cs="Arial"/>
        </w:rPr>
        <w:t>7</w:t>
      </w:r>
      <w:r w:rsidRPr="009F28B6">
        <w:rPr>
          <w:rFonts w:cs="Arial"/>
        </w:rPr>
        <w:t xml:space="preserve">, </w:t>
      </w:r>
      <w:r w:rsidR="002A7356" w:rsidRPr="009F28B6">
        <w:rPr>
          <w:rFonts w:cs="Arial"/>
        </w:rPr>
        <w:t>la nivelul</w:t>
      </w:r>
      <w:r w:rsidR="002A7356">
        <w:rPr>
          <w:rFonts w:cs="Arial"/>
        </w:rPr>
        <w:t xml:space="preserve"> A</w:t>
      </w:r>
      <w:r w:rsidR="00D75B0A">
        <w:rPr>
          <w:rFonts w:cs="Arial"/>
        </w:rPr>
        <w:t xml:space="preserve">utorității de </w:t>
      </w:r>
      <w:r w:rsidR="002A7356">
        <w:rPr>
          <w:rFonts w:cs="Arial"/>
        </w:rPr>
        <w:t>M</w:t>
      </w:r>
      <w:r w:rsidR="00D75B0A">
        <w:rPr>
          <w:rFonts w:cs="Arial"/>
        </w:rPr>
        <w:t>anagement pentru</w:t>
      </w:r>
      <w:r w:rsidR="002A7356">
        <w:rPr>
          <w:rFonts w:cs="Arial"/>
        </w:rPr>
        <w:t xml:space="preserve"> POAT au fost depuse </w:t>
      </w:r>
      <w:r w:rsidR="00705C91">
        <w:t>77</w:t>
      </w:r>
      <w:r w:rsidR="002A7356">
        <w:t xml:space="preserve"> de proiecte, </w:t>
      </w:r>
      <w:r w:rsidR="00D75B0A">
        <w:t xml:space="preserve">dintre care 50 au fost contractate, fiind </w:t>
      </w:r>
      <w:r w:rsidR="002A7356">
        <w:t xml:space="preserve">efectuate plăți </w:t>
      </w:r>
      <w:r w:rsidR="00056888">
        <w:t xml:space="preserve">(FEDR și buget de stat) </w:t>
      </w:r>
      <w:r w:rsidR="00D75B0A">
        <w:t xml:space="preserve">către beneficiari </w:t>
      </w:r>
      <w:r w:rsidR="002A7356">
        <w:t xml:space="preserve">în valoare </w:t>
      </w:r>
      <w:r w:rsidR="00056888">
        <w:t xml:space="preserve">totală </w:t>
      </w:r>
      <w:r w:rsidR="002A7356">
        <w:t xml:space="preserve">de </w:t>
      </w:r>
      <w:r w:rsidR="00056888">
        <w:t>50,80 mil. e</w:t>
      </w:r>
      <w:r w:rsidR="00705C91">
        <w:t>uro</w:t>
      </w:r>
      <w:r w:rsidR="002A7356">
        <w:t>, după cum urmează:</w:t>
      </w:r>
    </w:p>
    <w:p w:rsidR="002A7356" w:rsidRPr="002A7356" w:rsidRDefault="002A7356" w:rsidP="002A7356">
      <w:pPr>
        <w:pStyle w:val="ListParagraph"/>
        <w:numPr>
          <w:ilvl w:val="0"/>
          <w:numId w:val="8"/>
        </w:numPr>
        <w:spacing w:after="200" w:line="276" w:lineRule="auto"/>
        <w:jc w:val="both"/>
        <w:rPr>
          <w:rFonts w:cs="Arial"/>
          <w:i/>
        </w:rPr>
      </w:pPr>
      <w:r w:rsidRPr="0046794B">
        <w:rPr>
          <w:rFonts w:cs="Arial"/>
          <w:b/>
        </w:rPr>
        <w:t>în cadrul</w:t>
      </w:r>
      <w:r w:rsidR="001C3FBF" w:rsidRPr="0046794B">
        <w:rPr>
          <w:rFonts w:cs="Arial"/>
          <w:b/>
        </w:rPr>
        <w:t xml:space="preserve"> axei</w:t>
      </w:r>
      <w:r w:rsidR="001C3FBF" w:rsidRPr="00270B50">
        <w:rPr>
          <w:rFonts w:cs="Arial"/>
          <w:b/>
        </w:rPr>
        <w:t xml:space="preserve"> prioritare</w:t>
      </w:r>
      <w:r w:rsidR="001C3FBF" w:rsidRPr="00270B50">
        <w:rPr>
          <w:rFonts w:cs="Arial"/>
        </w:rPr>
        <w:t xml:space="preserve"> </w:t>
      </w:r>
      <w:r w:rsidR="001C3FBF" w:rsidRPr="0046794B">
        <w:rPr>
          <w:rFonts w:cs="Arial"/>
          <w:b/>
        </w:rPr>
        <w:t>1</w:t>
      </w:r>
      <w:r w:rsidR="00270B50">
        <w:rPr>
          <w:rFonts w:cs="Arial"/>
        </w:rPr>
        <w:t xml:space="preserve">, din </w:t>
      </w:r>
      <w:r w:rsidR="00270B50" w:rsidRPr="00056888">
        <w:rPr>
          <w:rFonts w:cs="Arial"/>
        </w:rPr>
        <w:t>cele</w:t>
      </w:r>
      <w:r w:rsidRPr="00056888">
        <w:rPr>
          <w:rFonts w:cs="Arial"/>
        </w:rPr>
        <w:t xml:space="preserve"> </w:t>
      </w:r>
      <w:r w:rsidR="00270B50" w:rsidRPr="00056888">
        <w:rPr>
          <w:rFonts w:cs="Arial"/>
        </w:rPr>
        <w:t>1</w:t>
      </w:r>
      <w:r w:rsidR="00056888" w:rsidRPr="00056888">
        <w:rPr>
          <w:rFonts w:cs="Arial"/>
        </w:rPr>
        <w:t>3</w:t>
      </w:r>
      <w:r w:rsidRPr="00056888">
        <w:rPr>
          <w:rFonts w:cs="Arial"/>
        </w:rPr>
        <w:t xml:space="preserve"> proiecte</w:t>
      </w:r>
      <w:r w:rsidR="00270B50">
        <w:rPr>
          <w:rFonts w:cs="Arial"/>
        </w:rPr>
        <w:t xml:space="preserve"> depuse </w:t>
      </w:r>
      <w:r w:rsidRPr="00270B50">
        <w:rPr>
          <w:rFonts w:cs="Arial"/>
        </w:rPr>
        <w:t xml:space="preserve">au </w:t>
      </w:r>
      <w:r w:rsidR="00270B50">
        <w:rPr>
          <w:rFonts w:cs="Arial"/>
        </w:rPr>
        <w:t>fost contractate</w:t>
      </w:r>
      <w:r w:rsidR="001B5DB7" w:rsidRPr="002A7356">
        <w:rPr>
          <w:rFonts w:cs="Arial"/>
        </w:rPr>
        <w:t xml:space="preserve"> </w:t>
      </w:r>
      <w:r w:rsidR="00056888">
        <w:rPr>
          <w:rFonts w:cs="Arial"/>
        </w:rPr>
        <w:t>10</w:t>
      </w:r>
      <w:r w:rsidR="001B5DB7" w:rsidRPr="002A7356">
        <w:rPr>
          <w:rFonts w:cs="Arial"/>
        </w:rPr>
        <w:t>,</w:t>
      </w:r>
      <w:r w:rsidR="00270B50">
        <w:rPr>
          <w:rFonts w:cs="Arial"/>
        </w:rPr>
        <w:t xml:space="preserve"> cu o</w:t>
      </w:r>
      <w:r w:rsidR="001B5DB7">
        <w:t xml:space="preserve"> valoare totală </w:t>
      </w:r>
      <w:r w:rsidR="001B5DB7" w:rsidRPr="00056888">
        <w:t xml:space="preserve">eligibilă de </w:t>
      </w:r>
      <w:r w:rsidR="00AF1F44">
        <w:t>20,22</w:t>
      </w:r>
      <w:r w:rsidR="001B5DB7" w:rsidRPr="00056888">
        <w:t xml:space="preserve"> mil.</w:t>
      </w:r>
      <w:r w:rsidR="001B5DB7">
        <w:t xml:space="preserve"> eur</w:t>
      </w:r>
      <w:r w:rsidR="00270B50">
        <w:t>o</w:t>
      </w:r>
      <w:r w:rsidR="001B5DB7">
        <w:t xml:space="preserve">, din care FEDR </w:t>
      </w:r>
      <w:r w:rsidR="00056888">
        <w:t>1</w:t>
      </w:r>
      <w:r w:rsidR="00AF1F44">
        <w:t>7</w:t>
      </w:r>
      <w:r w:rsidR="00056888">
        <w:t>,</w:t>
      </w:r>
      <w:r w:rsidR="00AF1F44">
        <w:t>1</w:t>
      </w:r>
      <w:r w:rsidR="00443097">
        <w:t>2</w:t>
      </w:r>
      <w:r w:rsidR="001B5DB7">
        <w:t xml:space="preserve"> mil. eur</w:t>
      </w:r>
      <w:r w:rsidR="00270B50">
        <w:t>o</w:t>
      </w:r>
      <w:r w:rsidR="001B5DB7">
        <w:t xml:space="preserve">, rata de contractare ajungând la </w:t>
      </w:r>
      <w:r w:rsidR="00056888">
        <w:t>25,3</w:t>
      </w:r>
      <w:r w:rsidR="00443097">
        <w:t>3</w:t>
      </w:r>
      <w:r w:rsidR="00056888">
        <w:t>%.</w:t>
      </w:r>
    </w:p>
    <w:p w:rsidR="001C3FBF" w:rsidRDefault="00C46E4C" w:rsidP="002A7356">
      <w:pPr>
        <w:spacing w:after="200" w:line="276" w:lineRule="auto"/>
        <w:jc w:val="both"/>
      </w:pPr>
      <w:r>
        <w:t>Pe parcursul anului 2017, prin proiectele implementate în cadrul acestei axe, au fost atinse următoarele rezultate:</w:t>
      </w:r>
    </w:p>
    <w:p w:rsidR="00C46E4C" w:rsidRPr="006301C4" w:rsidRDefault="00C46E4C" w:rsidP="00C46E4C">
      <w:pPr>
        <w:pStyle w:val="ListParagraph"/>
        <w:numPr>
          <w:ilvl w:val="0"/>
          <w:numId w:val="14"/>
        </w:numPr>
        <w:spacing w:after="200" w:line="276" w:lineRule="auto"/>
        <w:jc w:val="both"/>
        <w:rPr>
          <w:rFonts w:cs="Arial"/>
        </w:rPr>
      </w:pPr>
      <w:r w:rsidRPr="006301C4">
        <w:rPr>
          <w:rFonts w:cs="Arial"/>
        </w:rPr>
        <w:t>instruirea personalului Ministerului Afacerilor Interne și a structurilor sale subordonate, în calit</w:t>
      </w:r>
      <w:r w:rsidR="006301C4">
        <w:rPr>
          <w:rFonts w:cs="Arial"/>
        </w:rPr>
        <w:t xml:space="preserve">ate de beneficiari POIM și POC - </w:t>
      </w:r>
      <w:r w:rsidRPr="006301C4">
        <w:rPr>
          <w:rFonts w:cs="Arial"/>
        </w:rPr>
        <w:t xml:space="preserve">sesiunile de formare s-au desfășurat în perioada aprilie-octombrie 2017, în urma cărora au </w:t>
      </w:r>
      <w:r w:rsidR="006301C4">
        <w:rPr>
          <w:rFonts w:cs="Arial"/>
        </w:rPr>
        <w:t>fost certificate</w:t>
      </w:r>
      <w:r w:rsidR="00CF1B02">
        <w:rPr>
          <w:rFonts w:cs="Arial"/>
        </w:rPr>
        <w:t xml:space="preserve"> </w:t>
      </w:r>
      <w:r w:rsidR="006301C4">
        <w:rPr>
          <w:rFonts w:cs="Arial"/>
        </w:rPr>
        <w:t>280 de persoane (</w:t>
      </w:r>
      <w:r w:rsidR="006301C4" w:rsidRPr="006301C4">
        <w:rPr>
          <w:rFonts w:cs="Arial"/>
          <w:i/>
        </w:rPr>
        <w:t>beneficiar Ministerul Afacerilor Interne</w:t>
      </w:r>
      <w:r w:rsidR="006301C4">
        <w:rPr>
          <w:rFonts w:cs="Arial"/>
        </w:rPr>
        <w:t>)</w:t>
      </w:r>
      <w:r w:rsidRPr="006301C4">
        <w:rPr>
          <w:rFonts w:cs="Arial"/>
        </w:rPr>
        <w:t>;</w:t>
      </w:r>
    </w:p>
    <w:p w:rsidR="00574D83" w:rsidRPr="006301C4" w:rsidRDefault="00C46E4C" w:rsidP="00B923C0">
      <w:pPr>
        <w:pStyle w:val="ListParagraph"/>
        <w:numPr>
          <w:ilvl w:val="0"/>
          <w:numId w:val="14"/>
        </w:numPr>
        <w:spacing w:after="200" w:line="276" w:lineRule="auto"/>
        <w:jc w:val="both"/>
        <w:rPr>
          <w:rFonts w:cs="Arial"/>
        </w:rPr>
      </w:pPr>
      <w:r w:rsidRPr="006301C4">
        <w:rPr>
          <w:rFonts w:cs="Arial"/>
        </w:rPr>
        <w:t>d</w:t>
      </w:r>
      <w:r w:rsidRPr="006301C4">
        <w:rPr>
          <w:rFonts w:cs="Arial"/>
          <w:lang w:val="vi-VN"/>
        </w:rPr>
        <w:t>ezvolt</w:t>
      </w:r>
      <w:r w:rsidRPr="006301C4">
        <w:rPr>
          <w:rFonts w:cs="Arial"/>
        </w:rPr>
        <w:t>area</w:t>
      </w:r>
      <w:r w:rsidRPr="006301C4">
        <w:rPr>
          <w:rFonts w:cs="Arial"/>
          <w:lang w:val="vi-VN"/>
        </w:rPr>
        <w:t xml:space="preserve"> capacităţii </w:t>
      </w:r>
      <w:r w:rsidRPr="006301C4">
        <w:rPr>
          <w:rFonts w:cs="Arial"/>
          <w:lang w:val="en-US"/>
        </w:rPr>
        <w:t xml:space="preserve">de </w:t>
      </w:r>
      <w:r w:rsidRPr="006301C4">
        <w:rPr>
          <w:rFonts w:cs="Arial"/>
          <w:lang w:val="vi-VN"/>
        </w:rPr>
        <w:t>management</w:t>
      </w:r>
      <w:r w:rsidRPr="006301C4">
        <w:rPr>
          <w:rFonts w:cs="Arial"/>
          <w:lang w:val="en-US"/>
        </w:rPr>
        <w:t xml:space="preserve"> al</w:t>
      </w:r>
      <w:r w:rsidRPr="006301C4">
        <w:rPr>
          <w:rFonts w:cs="Arial"/>
        </w:rPr>
        <w:t xml:space="preserve"> portofoliului</w:t>
      </w:r>
      <w:r w:rsidRPr="006301C4">
        <w:rPr>
          <w:rFonts w:cs="Arial"/>
          <w:lang w:val="vi-VN"/>
        </w:rPr>
        <w:t xml:space="preserve"> de proiecte</w:t>
      </w:r>
      <w:r w:rsidRPr="006301C4">
        <w:rPr>
          <w:rFonts w:cs="Arial"/>
          <w:lang w:val="en-US"/>
        </w:rPr>
        <w:t>, inclusiv sprijin pentru preg</w:t>
      </w:r>
      <w:r w:rsidRPr="006301C4">
        <w:rPr>
          <w:rFonts w:cs="Arial"/>
        </w:rPr>
        <w:t>ă</w:t>
      </w:r>
      <w:r w:rsidRPr="006301C4">
        <w:rPr>
          <w:rFonts w:cs="Arial"/>
          <w:lang w:val="en-US"/>
        </w:rPr>
        <w:t>tirea acestora,</w:t>
      </w:r>
      <w:r w:rsidRPr="006301C4">
        <w:rPr>
          <w:rFonts w:cs="Arial"/>
        </w:rPr>
        <w:t xml:space="preserve"> î</w:t>
      </w:r>
      <w:r w:rsidRPr="006301C4">
        <w:rPr>
          <w:rFonts w:cs="Arial"/>
          <w:lang w:val="en-US"/>
        </w:rPr>
        <w:t>n</w:t>
      </w:r>
      <w:r w:rsidRPr="006301C4">
        <w:rPr>
          <w:rFonts w:cs="Arial"/>
        </w:rPr>
        <w:t xml:space="preserve"> domeniul TI&amp;C din POC, prin</w:t>
      </w:r>
      <w:r w:rsidR="00CF1B02">
        <w:rPr>
          <w:rFonts w:cs="Arial"/>
        </w:rPr>
        <w:t>:</w:t>
      </w:r>
      <w:r w:rsidRPr="006301C4">
        <w:rPr>
          <w:rFonts w:cs="Arial"/>
        </w:rPr>
        <w:t xml:space="preserve"> elaborarea schemei de granturi pentru Next-Generation Network</w:t>
      </w:r>
      <w:r w:rsidR="00CF1B02">
        <w:rPr>
          <w:rFonts w:cs="Arial"/>
        </w:rPr>
        <w:t>;</w:t>
      </w:r>
      <w:r w:rsidR="0077182D" w:rsidRPr="006301C4">
        <w:rPr>
          <w:rFonts w:cs="Arial"/>
        </w:rPr>
        <w:t xml:space="preserve"> lansarea, spre consultare publică, în data de 20 septembrie 2017, a schemei de ajutor de stat aferentă </w:t>
      </w:r>
      <w:r w:rsidR="00A07D56" w:rsidRPr="006301C4">
        <w:rPr>
          <w:rFonts w:cs="Arial"/>
          <w:lang w:val="vi-VN"/>
        </w:rPr>
        <w:t>Acţiunii 2.1.1 „</w:t>
      </w:r>
      <w:r w:rsidR="00A07D56" w:rsidRPr="006301C4">
        <w:rPr>
          <w:rFonts w:cs="Arial"/>
          <w:iCs/>
          <w:lang w:val="vi-VN"/>
        </w:rPr>
        <w:t>Îmbunătăţirea infrastructurii în bandă largă şi a accesului la internet</w:t>
      </w:r>
      <w:r w:rsidR="00A07D56" w:rsidRPr="006301C4">
        <w:rPr>
          <w:rFonts w:cs="Arial"/>
          <w:lang w:val="vi-VN"/>
        </w:rPr>
        <w:t>”</w:t>
      </w:r>
      <w:r w:rsidR="00A07D56" w:rsidRPr="006301C4">
        <w:rPr>
          <w:rFonts w:cs="Arial"/>
        </w:rPr>
        <w:t xml:space="preserve"> din cadrul </w:t>
      </w:r>
      <w:r w:rsidR="00A07D56" w:rsidRPr="006301C4">
        <w:rPr>
          <w:rFonts w:cs="Arial"/>
          <w:lang w:val="vi-VN"/>
        </w:rPr>
        <w:t>O.S 2.1</w:t>
      </w:r>
      <w:r w:rsidR="00A07D56" w:rsidRPr="006301C4">
        <w:rPr>
          <w:rFonts w:cs="Arial"/>
        </w:rPr>
        <w:t xml:space="preserve">, </w:t>
      </w:r>
      <w:r w:rsidR="00A07D56" w:rsidRPr="006301C4">
        <w:rPr>
          <w:rFonts w:cs="Arial"/>
          <w:lang w:val="vi-VN"/>
        </w:rPr>
        <w:t xml:space="preserve">Axa prioritară 2 </w:t>
      </w:r>
      <w:r w:rsidR="00A07D56" w:rsidRPr="006301C4">
        <w:rPr>
          <w:rFonts w:cs="Arial"/>
        </w:rPr>
        <w:t>POC</w:t>
      </w:r>
      <w:r w:rsidR="00CF1B02">
        <w:rPr>
          <w:rFonts w:cs="Arial"/>
        </w:rPr>
        <w:t xml:space="preserve">; </w:t>
      </w:r>
      <w:r w:rsidR="00B923C0" w:rsidRPr="006301C4">
        <w:rPr>
          <w:rFonts w:cs="Arial"/>
        </w:rPr>
        <w:t>continuarea sprijinului acordat pentru definitivarea unor documentații, precum: Sistemul Informatic Integrat de Emitere a Actelor de Stare Civilă (Ministerul Afacerilor Interne), Biblioteca digitală a României (Ministerul Comunicațiilor și Societății Informaționale), Sistem Informatic Național de Management al Persoanelor cu Dizabilități și Invaliditate (Autoritatea Națională pentru Persoanele cu Dizabilități), Sistem Informatic de Management al Școlarității (Ministerul Educației Naționale)</w:t>
      </w:r>
      <w:r w:rsidR="00451199">
        <w:rPr>
          <w:rFonts w:cs="Arial"/>
        </w:rPr>
        <w:t xml:space="preserve"> (</w:t>
      </w:r>
      <w:r w:rsidR="00451199" w:rsidRPr="00451199">
        <w:rPr>
          <w:rFonts w:cs="Arial"/>
          <w:i/>
        </w:rPr>
        <w:t>beneficiar Ministerul Comunicațiilor și Societății Informaționale</w:t>
      </w:r>
      <w:r w:rsidR="00451199">
        <w:rPr>
          <w:rFonts w:cs="Arial"/>
        </w:rPr>
        <w:t>)</w:t>
      </w:r>
      <w:r w:rsidR="00B923C0" w:rsidRPr="006301C4">
        <w:rPr>
          <w:rFonts w:cs="Arial"/>
        </w:rPr>
        <w:t>;</w:t>
      </w:r>
    </w:p>
    <w:p w:rsidR="00C46E4C" w:rsidRPr="006301C4" w:rsidRDefault="0077182D" w:rsidP="006301C4">
      <w:pPr>
        <w:pStyle w:val="ListParagraph"/>
        <w:numPr>
          <w:ilvl w:val="0"/>
          <w:numId w:val="14"/>
        </w:numPr>
        <w:spacing w:after="200" w:line="276" w:lineRule="auto"/>
        <w:jc w:val="both"/>
        <w:rPr>
          <w:rFonts w:cs="Arial"/>
        </w:rPr>
      </w:pPr>
      <w:r w:rsidRPr="006301C4">
        <w:rPr>
          <w:rFonts w:cs="Arial"/>
        </w:rPr>
        <w:t xml:space="preserve">coordonarea implementării Strategiei Integrate de Dezvoltare Durabilă a Deltei Dunării, prin asigurarea sistemului de helpdesk funcțional pentru beneficiarii Investițiilor Teritoriale Integrate - Delta Dunării, </w:t>
      </w:r>
      <w:r w:rsidR="006301C4" w:rsidRPr="006301C4">
        <w:rPr>
          <w:rFonts w:cs="Arial"/>
        </w:rPr>
        <w:t>în vederea sprijinirii acestora în procesul de elaborare a propunerilor de proiecte și actualizarea portofoliului propus în SIDD DD</w:t>
      </w:r>
      <w:r w:rsidR="00451199">
        <w:rPr>
          <w:rFonts w:cs="Arial"/>
        </w:rPr>
        <w:t xml:space="preserve"> (</w:t>
      </w:r>
      <w:r w:rsidR="00451199" w:rsidRPr="00451199">
        <w:rPr>
          <w:rFonts w:cs="Arial"/>
          <w:i/>
        </w:rPr>
        <w:t xml:space="preserve">beneficiar </w:t>
      </w:r>
      <w:r w:rsidR="00893915" w:rsidRPr="00893915">
        <w:rPr>
          <w:i/>
        </w:rPr>
        <w:t>Asociația de Dezvoltare Intercomunitară pentru instrumentul financiar Investiții Teritorial Integrate Delta Dunării</w:t>
      </w:r>
      <w:r w:rsidR="00451199">
        <w:rPr>
          <w:rFonts w:cs="Arial"/>
        </w:rPr>
        <w:t>);</w:t>
      </w:r>
    </w:p>
    <w:p w:rsidR="0077182D" w:rsidRPr="006301C4" w:rsidRDefault="006301C4" w:rsidP="006301C4">
      <w:pPr>
        <w:pStyle w:val="ListParagraph"/>
        <w:numPr>
          <w:ilvl w:val="0"/>
          <w:numId w:val="14"/>
        </w:numPr>
        <w:spacing w:after="200" w:line="276" w:lineRule="auto"/>
        <w:jc w:val="both"/>
        <w:rPr>
          <w:rFonts w:cs="Arial"/>
        </w:rPr>
      </w:pPr>
      <w:r w:rsidRPr="006301C4">
        <w:rPr>
          <w:rFonts w:cs="Arial"/>
        </w:rPr>
        <w:lastRenderedPageBreak/>
        <w:t>asigurarea de asistență pentru Compania Națională de Administrare a Infrastructurii Rutiere și CFR în vederea îndeplinirii condiționalităților ex-ante POIM privind consolidarea capacității administrative, inclusiv prin contractarea de experți pentru sprijin instituțional în vederea îmbunătățirii sectorului de drumuri, studiu strategic pentru analiza opțiunilor Centura București, înființarea și operaționalizarea Autorității de Reformă Feroviară, evaluarea sistemului de control intern CNAIR și ANAR, suport Metrorex în elaborarea documentației pentru proiectarea secțiunii 2 a liniei de metrou 5</w:t>
      </w:r>
      <w:r w:rsidR="00451199">
        <w:rPr>
          <w:rFonts w:cs="Arial"/>
        </w:rPr>
        <w:t xml:space="preserve"> (</w:t>
      </w:r>
      <w:r w:rsidR="00451199" w:rsidRPr="00451199">
        <w:rPr>
          <w:rFonts w:cs="Arial"/>
          <w:i/>
        </w:rPr>
        <w:t xml:space="preserve">beneficiar </w:t>
      </w:r>
      <w:r w:rsidR="00451199">
        <w:rPr>
          <w:rFonts w:cs="Arial"/>
          <w:i/>
        </w:rPr>
        <w:t xml:space="preserve">Ministerul Fondurilor Europene prin </w:t>
      </w:r>
      <w:r w:rsidR="00451199" w:rsidRPr="00451199">
        <w:rPr>
          <w:rFonts w:cs="Arial"/>
          <w:i/>
        </w:rPr>
        <w:t xml:space="preserve">Autoritatea de Management pentru Programul Operațional </w:t>
      </w:r>
      <w:r w:rsidR="00451199">
        <w:rPr>
          <w:rFonts w:cs="Arial"/>
          <w:i/>
        </w:rPr>
        <w:t>Infrastructură Mare</w:t>
      </w:r>
      <w:r w:rsidR="00451199">
        <w:rPr>
          <w:rFonts w:cs="Arial"/>
        </w:rPr>
        <w:t>)</w:t>
      </w:r>
      <w:r w:rsidRPr="006301C4">
        <w:rPr>
          <w:rFonts w:cs="Arial"/>
        </w:rPr>
        <w:t>.</w:t>
      </w:r>
    </w:p>
    <w:p w:rsidR="00200BD6" w:rsidRDefault="00705C91" w:rsidP="002A7356">
      <w:pPr>
        <w:spacing w:after="200" w:line="276" w:lineRule="auto"/>
        <w:jc w:val="both"/>
        <w:rPr>
          <w:rFonts w:cs="Arial"/>
        </w:rPr>
      </w:pPr>
      <w:r>
        <w:rPr>
          <w:rFonts w:cs="Arial"/>
        </w:rPr>
        <w:t xml:space="preserve">În ceea ce privește </w:t>
      </w:r>
      <w:r w:rsidRPr="00200BD6">
        <w:rPr>
          <w:rFonts w:cs="Arial"/>
        </w:rPr>
        <w:t>progresul financiar, la nivelul</w:t>
      </w:r>
      <w:r>
        <w:rPr>
          <w:rFonts w:cs="Arial"/>
        </w:rPr>
        <w:t xml:space="preserve"> acestei axe </w:t>
      </w:r>
      <w:r w:rsidR="00200BD6">
        <w:rPr>
          <w:rFonts w:cs="Arial"/>
        </w:rPr>
        <w:t xml:space="preserve">au fost </w:t>
      </w:r>
      <w:r>
        <w:rPr>
          <w:rFonts w:cs="Arial"/>
        </w:rPr>
        <w:t xml:space="preserve">efectuate plăți </w:t>
      </w:r>
      <w:r w:rsidR="00200BD6">
        <w:rPr>
          <w:rFonts w:cs="Arial"/>
        </w:rPr>
        <w:t xml:space="preserve">FEDR </w:t>
      </w:r>
      <w:r w:rsidR="00200BD6" w:rsidRPr="00AF631F">
        <w:t xml:space="preserve">în valoare totală de </w:t>
      </w:r>
      <w:r w:rsidR="00200BD6">
        <w:t>2,43</w:t>
      </w:r>
      <w:r w:rsidR="00200BD6" w:rsidRPr="00AF631F">
        <w:t xml:space="preserve"> mil. euro și, respectiv, plăți de la bugetul de stat pentru asigurarea</w:t>
      </w:r>
      <w:r w:rsidR="00200BD6">
        <w:t xml:space="preserve"> contribuției publice solicitată</w:t>
      </w:r>
      <w:r w:rsidR="00200BD6" w:rsidRPr="00AF631F">
        <w:t xml:space="preserve"> de </w:t>
      </w:r>
      <w:r w:rsidR="00200BD6">
        <w:t xml:space="preserve">Asociația </w:t>
      </w:r>
      <w:r w:rsidR="00AF1F44">
        <w:t>de</w:t>
      </w:r>
      <w:r w:rsidR="00200BD6">
        <w:t xml:space="preserve"> Dezvoltare Intercomunitară </w:t>
      </w:r>
      <w:r w:rsidR="00AF1F44">
        <w:t xml:space="preserve">pentru instrumentul financiar </w:t>
      </w:r>
      <w:r w:rsidR="00200BD6">
        <w:t>I</w:t>
      </w:r>
      <w:r w:rsidR="00AF1F44">
        <w:t xml:space="preserve">nvestiții </w:t>
      </w:r>
      <w:r w:rsidR="00200BD6">
        <w:t>T</w:t>
      </w:r>
      <w:r w:rsidR="00AF1F44">
        <w:t xml:space="preserve">eritorial </w:t>
      </w:r>
      <w:r w:rsidR="00200BD6">
        <w:t>I</w:t>
      </w:r>
      <w:r w:rsidR="00AF1F44">
        <w:t>ntegrate</w:t>
      </w:r>
      <w:r w:rsidR="00200BD6">
        <w:t xml:space="preserve"> Delta Dunării</w:t>
      </w:r>
      <w:r w:rsidR="00AF1F44">
        <w:t xml:space="preserve"> (ADI ITI DD)</w:t>
      </w:r>
      <w:r w:rsidR="00200BD6" w:rsidRPr="00AF631F">
        <w:t xml:space="preserve">, </w:t>
      </w:r>
      <w:r w:rsidR="00200BD6" w:rsidRPr="00052911">
        <w:t xml:space="preserve">în valoare de </w:t>
      </w:r>
      <w:r w:rsidR="00200BD6">
        <w:t>0,13</w:t>
      </w:r>
      <w:r w:rsidR="00200BD6" w:rsidRPr="00052911">
        <w:t xml:space="preserve"> mil. euro</w:t>
      </w:r>
      <w:r w:rsidR="00200BD6">
        <w:t>.</w:t>
      </w:r>
    </w:p>
    <w:p w:rsidR="002A7356" w:rsidRPr="00AF1F44" w:rsidRDefault="002A7356" w:rsidP="003B38FD">
      <w:pPr>
        <w:pStyle w:val="ListParagraph"/>
        <w:numPr>
          <w:ilvl w:val="0"/>
          <w:numId w:val="8"/>
        </w:numPr>
        <w:spacing w:line="276" w:lineRule="auto"/>
        <w:jc w:val="both"/>
      </w:pPr>
      <w:r w:rsidRPr="0046794B">
        <w:rPr>
          <w:rFonts w:cs="Arial"/>
          <w:b/>
        </w:rPr>
        <w:t>î</w:t>
      </w:r>
      <w:r w:rsidR="001C3FBF" w:rsidRPr="0046794B">
        <w:rPr>
          <w:rFonts w:cs="Arial"/>
          <w:b/>
        </w:rPr>
        <w:t xml:space="preserve">n </w:t>
      </w:r>
      <w:r w:rsidR="00C867EB" w:rsidRPr="0046794B">
        <w:rPr>
          <w:rFonts w:cs="Arial"/>
          <w:b/>
        </w:rPr>
        <w:t>cadrul</w:t>
      </w:r>
      <w:r w:rsidR="001C3FBF" w:rsidRPr="00270B50">
        <w:rPr>
          <w:rFonts w:cs="Arial"/>
        </w:rPr>
        <w:t xml:space="preserve"> </w:t>
      </w:r>
      <w:r w:rsidR="001C3FBF" w:rsidRPr="00270B50">
        <w:rPr>
          <w:rFonts w:cs="Arial"/>
          <w:b/>
        </w:rPr>
        <w:t>axei prioritare 2</w:t>
      </w:r>
      <w:r w:rsidR="003A6A0C" w:rsidRPr="00270B50">
        <w:rPr>
          <w:rFonts w:cs="Arial"/>
        </w:rPr>
        <w:t xml:space="preserve">, </w:t>
      </w:r>
      <w:r w:rsidR="00270B50" w:rsidRPr="00270B50">
        <w:rPr>
          <w:rFonts w:cs="Arial"/>
        </w:rPr>
        <w:t>au fost</w:t>
      </w:r>
      <w:r w:rsidRPr="00270B50">
        <w:rPr>
          <w:rFonts w:cs="Arial"/>
        </w:rPr>
        <w:t xml:space="preserve"> </w:t>
      </w:r>
      <w:r w:rsidRPr="00AF1F44">
        <w:rPr>
          <w:rFonts w:cs="Arial"/>
        </w:rPr>
        <w:t>depuse</w:t>
      </w:r>
      <w:r w:rsidR="00270B50" w:rsidRPr="00AF1F44">
        <w:rPr>
          <w:rFonts w:cs="Arial"/>
        </w:rPr>
        <w:t xml:space="preserve"> 4</w:t>
      </w:r>
      <w:r w:rsidR="00AF1F44" w:rsidRPr="00AF1F44">
        <w:rPr>
          <w:rFonts w:cs="Arial"/>
        </w:rPr>
        <w:t>2</w:t>
      </w:r>
      <w:r w:rsidR="0046794B" w:rsidRPr="00AF1F44">
        <w:rPr>
          <w:rFonts w:cs="Arial"/>
        </w:rPr>
        <w:t xml:space="preserve"> de proiecte</w:t>
      </w:r>
      <w:r w:rsidRPr="00270B50">
        <w:rPr>
          <w:rFonts w:cs="Arial"/>
        </w:rPr>
        <w:t xml:space="preserve">, </w:t>
      </w:r>
      <w:r w:rsidR="00270B50">
        <w:rPr>
          <w:rFonts w:cs="Arial"/>
        </w:rPr>
        <w:t xml:space="preserve">fiind semnate </w:t>
      </w:r>
      <w:r w:rsidRPr="003B38FD">
        <w:rPr>
          <w:rFonts w:cs="Arial"/>
        </w:rPr>
        <w:t>contract</w:t>
      </w:r>
      <w:r w:rsidR="00270B50">
        <w:rPr>
          <w:rFonts w:cs="Arial"/>
        </w:rPr>
        <w:t>e/decizii de finanțare</w:t>
      </w:r>
      <w:r w:rsidR="0046794B">
        <w:rPr>
          <w:rFonts w:cs="Arial"/>
        </w:rPr>
        <w:t xml:space="preserve"> pentru </w:t>
      </w:r>
      <w:r w:rsidR="00AF1F44">
        <w:rPr>
          <w:rFonts w:cs="Arial"/>
        </w:rPr>
        <w:t>26</w:t>
      </w:r>
      <w:r w:rsidR="0046794B">
        <w:rPr>
          <w:rFonts w:cs="Arial"/>
        </w:rPr>
        <w:t xml:space="preserve"> dintre acestea</w:t>
      </w:r>
      <w:r w:rsidR="00270B50">
        <w:rPr>
          <w:rFonts w:cs="Arial"/>
        </w:rPr>
        <w:t>,</w:t>
      </w:r>
      <w:r w:rsidRPr="003B38FD">
        <w:rPr>
          <w:rFonts w:cs="Arial"/>
        </w:rPr>
        <w:t xml:space="preserve"> </w:t>
      </w:r>
      <w:r w:rsidRPr="003B38FD">
        <w:rPr>
          <w:rFonts w:cstheme="minorHAnsi"/>
        </w:rPr>
        <w:t xml:space="preserve">în valoare eligibilă </w:t>
      </w:r>
      <w:r w:rsidRPr="00AF1F44">
        <w:rPr>
          <w:rFonts w:cstheme="minorHAnsi"/>
        </w:rPr>
        <w:t xml:space="preserve">totală de </w:t>
      </w:r>
      <w:r w:rsidR="00AF1F44" w:rsidRPr="00AF1F44">
        <w:rPr>
          <w:rFonts w:cstheme="minorHAnsi"/>
        </w:rPr>
        <w:t>35,04</w:t>
      </w:r>
      <w:r w:rsidRPr="00AF1F44">
        <w:rPr>
          <w:rFonts w:cstheme="minorHAnsi"/>
        </w:rPr>
        <w:t xml:space="preserve"> mil. euro, din care FEDR </w:t>
      </w:r>
      <w:r w:rsidR="00AF1F44" w:rsidRPr="00AF1F44">
        <w:rPr>
          <w:rFonts w:cstheme="minorHAnsi"/>
        </w:rPr>
        <w:t>2</w:t>
      </w:r>
      <w:r w:rsidRPr="00AF1F44">
        <w:rPr>
          <w:rFonts w:cstheme="minorHAnsi"/>
        </w:rPr>
        <w:t>9,</w:t>
      </w:r>
      <w:r w:rsidR="00AF1F44" w:rsidRPr="00AF1F44">
        <w:rPr>
          <w:rFonts w:cstheme="minorHAnsi"/>
        </w:rPr>
        <w:t>6</w:t>
      </w:r>
      <w:r w:rsidR="00443097">
        <w:rPr>
          <w:rFonts w:cstheme="minorHAnsi"/>
        </w:rPr>
        <w:t>7</w:t>
      </w:r>
      <w:r w:rsidRPr="00AF1F44">
        <w:rPr>
          <w:rFonts w:cstheme="minorHAnsi"/>
        </w:rPr>
        <w:t xml:space="preserve"> mil. euro, rata de contractare ajungând la </w:t>
      </w:r>
      <w:r w:rsidR="00AF1F44" w:rsidRPr="00AF1F44">
        <w:rPr>
          <w:rFonts w:cstheme="minorHAnsi"/>
        </w:rPr>
        <w:t>53,32</w:t>
      </w:r>
      <w:r w:rsidRPr="00AF1F44">
        <w:rPr>
          <w:rFonts w:cstheme="minorHAnsi"/>
        </w:rPr>
        <w:t>%.</w:t>
      </w:r>
    </w:p>
    <w:p w:rsidR="00B923C0" w:rsidRDefault="00B923C0" w:rsidP="003B38FD">
      <w:pPr>
        <w:spacing w:after="200" w:line="276" w:lineRule="auto"/>
        <w:jc w:val="both"/>
        <w:rPr>
          <w:rFonts w:cs="Arial"/>
        </w:rPr>
      </w:pPr>
      <w:r>
        <w:rPr>
          <w:rFonts w:cs="Arial"/>
        </w:rPr>
        <w:t>În anul 2017 au fost finalizate o serie de proiecte în cadrul acestei axe, care au vizat:</w:t>
      </w:r>
    </w:p>
    <w:p w:rsidR="00B923C0" w:rsidRPr="00B923C0" w:rsidRDefault="00B923C0" w:rsidP="006301C4">
      <w:pPr>
        <w:pStyle w:val="ListParagraph"/>
        <w:numPr>
          <w:ilvl w:val="0"/>
          <w:numId w:val="14"/>
        </w:numPr>
        <w:spacing w:after="200" w:line="276" w:lineRule="auto"/>
        <w:jc w:val="both"/>
        <w:rPr>
          <w:rFonts w:cs="Arial"/>
        </w:rPr>
      </w:pPr>
      <w:r>
        <w:rPr>
          <w:rFonts w:cs="Arial"/>
        </w:rPr>
        <w:t>e</w:t>
      </w:r>
      <w:r w:rsidRPr="00B923C0">
        <w:rPr>
          <w:rFonts w:cs="Arial"/>
          <w:lang w:val="en-US"/>
        </w:rPr>
        <w:t>valu</w:t>
      </w:r>
      <w:r>
        <w:rPr>
          <w:rFonts w:cs="Arial"/>
        </w:rPr>
        <w:t>a</w:t>
      </w:r>
      <w:r w:rsidRPr="00B923C0">
        <w:rPr>
          <w:rFonts w:cs="Arial"/>
        </w:rPr>
        <w:t>r</w:t>
      </w:r>
      <w:r>
        <w:rPr>
          <w:rFonts w:cs="Arial"/>
        </w:rPr>
        <w:t>ea</w:t>
      </w:r>
      <w:r w:rsidRPr="00B923C0">
        <w:rPr>
          <w:rFonts w:cs="Arial"/>
          <w:lang w:val="en-US"/>
        </w:rPr>
        <w:t xml:space="preserve"> proiectelor primite în cadrul Axei prioritare 2 POC</w:t>
      </w:r>
      <w:r>
        <w:rPr>
          <w:rFonts w:cs="Arial"/>
          <w:lang w:val="en-US"/>
        </w:rPr>
        <w:t xml:space="preserve"> (</w:t>
      </w:r>
      <w:r w:rsidRPr="001F6659">
        <w:rPr>
          <w:rFonts w:cs="Arial"/>
          <w:i/>
          <w:lang w:val="en-US"/>
        </w:rPr>
        <w:t>beneficiar Organismul Intermediar pentru Promovarea Societății Informaționale</w:t>
      </w:r>
      <w:r>
        <w:rPr>
          <w:rFonts w:cs="Arial"/>
          <w:lang w:val="en-US"/>
        </w:rPr>
        <w:t>);</w:t>
      </w:r>
    </w:p>
    <w:p w:rsidR="00574D83" w:rsidRDefault="00B923C0" w:rsidP="006301C4">
      <w:pPr>
        <w:pStyle w:val="ListParagraph"/>
        <w:numPr>
          <w:ilvl w:val="0"/>
          <w:numId w:val="14"/>
        </w:numPr>
        <w:spacing w:after="200" w:line="276" w:lineRule="auto"/>
        <w:jc w:val="both"/>
        <w:rPr>
          <w:rFonts w:cs="Arial"/>
        </w:rPr>
      </w:pPr>
      <w:r>
        <w:rPr>
          <w:rFonts w:cs="Arial"/>
        </w:rPr>
        <w:t>audit</w:t>
      </w:r>
      <w:r w:rsidR="006301C4">
        <w:rPr>
          <w:rFonts w:cs="Arial"/>
        </w:rPr>
        <w:t>ul</w:t>
      </w:r>
      <w:r w:rsidR="00A07D56" w:rsidRPr="00B923C0">
        <w:rPr>
          <w:rFonts w:cs="Arial"/>
          <w:lang w:val="vi-VN"/>
        </w:rPr>
        <w:t xml:space="preserve"> tehnic al lucrărilor aferente obiect</w:t>
      </w:r>
      <w:r w:rsidR="00A07D56" w:rsidRPr="00B923C0">
        <w:rPr>
          <w:rFonts w:cs="Arial"/>
        </w:rPr>
        <w:t>iv</w:t>
      </w:r>
      <w:r w:rsidR="00A07D56" w:rsidRPr="00B923C0">
        <w:rPr>
          <w:rFonts w:cs="Arial"/>
          <w:lang w:val="vi-VN"/>
        </w:rPr>
        <w:t>ului de investiții „Reabilitarea secțiunilor de cale ferată București Nord-București Băneasa și Fetești-Constanța” (</w:t>
      </w:r>
      <w:r w:rsidR="00A07D56" w:rsidRPr="00B923C0">
        <w:rPr>
          <w:rFonts w:cs="Arial"/>
          <w:i/>
          <w:iCs/>
          <w:lang w:val="vi-VN"/>
        </w:rPr>
        <w:t>beneficiar M</w:t>
      </w:r>
      <w:r w:rsidR="001F6659">
        <w:rPr>
          <w:rFonts w:cs="Arial"/>
          <w:i/>
          <w:iCs/>
        </w:rPr>
        <w:t>inisterul Fondurilor Europene</w:t>
      </w:r>
      <w:r w:rsidR="00A07D56" w:rsidRPr="00B923C0">
        <w:rPr>
          <w:rFonts w:cs="Arial"/>
          <w:i/>
          <w:iCs/>
          <w:lang w:val="vi-VN"/>
        </w:rPr>
        <w:t xml:space="preserve"> prin A</w:t>
      </w:r>
      <w:r w:rsidR="001F6659">
        <w:rPr>
          <w:rFonts w:cs="Arial"/>
          <w:i/>
          <w:iCs/>
        </w:rPr>
        <w:t xml:space="preserve">utoritatea de </w:t>
      </w:r>
      <w:r w:rsidR="00A07D56" w:rsidRPr="00B923C0">
        <w:rPr>
          <w:rFonts w:cs="Arial"/>
          <w:i/>
          <w:iCs/>
          <w:lang w:val="vi-VN"/>
        </w:rPr>
        <w:t>M</w:t>
      </w:r>
      <w:r w:rsidR="001F6659">
        <w:rPr>
          <w:rFonts w:cs="Arial"/>
          <w:i/>
          <w:iCs/>
        </w:rPr>
        <w:t>anagement</w:t>
      </w:r>
      <w:r w:rsidR="00A07D56" w:rsidRPr="00B923C0">
        <w:rPr>
          <w:rFonts w:cs="Arial"/>
          <w:i/>
          <w:iCs/>
          <w:lang w:val="vi-VN"/>
        </w:rPr>
        <w:t xml:space="preserve"> </w:t>
      </w:r>
      <w:r w:rsidR="00451199">
        <w:rPr>
          <w:rFonts w:cs="Arial"/>
          <w:i/>
          <w:iCs/>
        </w:rPr>
        <w:t xml:space="preserve">pentru </w:t>
      </w:r>
      <w:r w:rsidR="00A07D56" w:rsidRPr="00B923C0">
        <w:rPr>
          <w:rFonts w:cs="Arial"/>
          <w:i/>
          <w:iCs/>
          <w:lang w:val="vi-VN"/>
        </w:rPr>
        <w:t>POS T</w:t>
      </w:r>
      <w:r w:rsidR="001F6659">
        <w:rPr>
          <w:rFonts w:cs="Arial"/>
          <w:i/>
          <w:iCs/>
        </w:rPr>
        <w:t>ransport</w:t>
      </w:r>
      <w:r w:rsidR="00A07D56" w:rsidRPr="00B923C0">
        <w:rPr>
          <w:rFonts w:cs="Arial"/>
          <w:lang w:val="vi-VN"/>
        </w:rPr>
        <w:t>)</w:t>
      </w:r>
      <w:r w:rsidR="001F6659">
        <w:rPr>
          <w:rFonts w:cs="Arial"/>
        </w:rPr>
        <w:t>;</w:t>
      </w:r>
    </w:p>
    <w:p w:rsidR="00574D83" w:rsidRPr="001F6659" w:rsidRDefault="001F6659" w:rsidP="006301C4">
      <w:pPr>
        <w:pStyle w:val="ListParagraph"/>
        <w:numPr>
          <w:ilvl w:val="0"/>
          <w:numId w:val="14"/>
        </w:numPr>
        <w:spacing w:after="200" w:line="276" w:lineRule="auto"/>
        <w:jc w:val="both"/>
        <w:rPr>
          <w:rFonts w:cs="Arial"/>
        </w:rPr>
      </w:pPr>
      <w:r>
        <w:rPr>
          <w:rFonts w:cs="Arial"/>
        </w:rPr>
        <w:t>s</w:t>
      </w:r>
      <w:r w:rsidR="00A07D56" w:rsidRPr="001F6659">
        <w:rPr>
          <w:rFonts w:cs="Arial"/>
        </w:rPr>
        <w:t>prijinir</w:t>
      </w:r>
      <w:r>
        <w:rPr>
          <w:rFonts w:cs="Arial"/>
        </w:rPr>
        <w:t>ea</w:t>
      </w:r>
      <w:r w:rsidR="00A07D56" w:rsidRPr="001F6659">
        <w:rPr>
          <w:rFonts w:cs="Arial"/>
        </w:rPr>
        <w:t xml:space="preserve"> procesului de desemnare în contextul finalizări</w:t>
      </w:r>
      <w:r w:rsidRPr="001F6659">
        <w:rPr>
          <w:rFonts w:cs="Arial"/>
        </w:rPr>
        <w:t>i cerințelor pentru aplicațiile</w:t>
      </w:r>
      <w:r>
        <w:rPr>
          <w:rFonts w:cs="Arial"/>
        </w:rPr>
        <w:t xml:space="preserve"> </w:t>
      </w:r>
      <w:r w:rsidR="00A07D56" w:rsidRPr="001F6659">
        <w:rPr>
          <w:rFonts w:cs="Arial"/>
        </w:rPr>
        <w:t>informatice (</w:t>
      </w:r>
      <w:r w:rsidR="00A07D56" w:rsidRPr="001F6659">
        <w:rPr>
          <w:rFonts w:cs="Arial"/>
          <w:i/>
        </w:rPr>
        <w:t xml:space="preserve">beneficiar </w:t>
      </w:r>
      <w:r w:rsidRPr="001F6659">
        <w:rPr>
          <w:rFonts w:cs="Arial"/>
          <w:i/>
          <w:iCs/>
          <w:lang w:val="vi-VN"/>
        </w:rPr>
        <w:t>M</w:t>
      </w:r>
      <w:r>
        <w:rPr>
          <w:rFonts w:cs="Arial"/>
          <w:i/>
          <w:iCs/>
        </w:rPr>
        <w:t>inisterul Fondurilor Europene</w:t>
      </w:r>
      <w:r w:rsidRPr="00B923C0">
        <w:rPr>
          <w:rFonts w:cs="Arial"/>
          <w:i/>
          <w:iCs/>
          <w:lang w:val="vi-VN"/>
        </w:rPr>
        <w:t xml:space="preserve"> prin</w:t>
      </w:r>
      <w:r>
        <w:rPr>
          <w:rFonts w:cs="Arial"/>
          <w:i/>
          <w:iCs/>
        </w:rPr>
        <w:t xml:space="preserve"> Direcția Coordonare Sistem și Monitorizare</w:t>
      </w:r>
      <w:r w:rsidR="00A07D56" w:rsidRPr="001F6659">
        <w:rPr>
          <w:rFonts w:cs="Arial"/>
        </w:rPr>
        <w:t>)</w:t>
      </w:r>
    </w:p>
    <w:p w:rsidR="00574D83" w:rsidRPr="001F6659" w:rsidRDefault="001F6659" w:rsidP="006301C4">
      <w:pPr>
        <w:pStyle w:val="ListParagraph"/>
        <w:numPr>
          <w:ilvl w:val="0"/>
          <w:numId w:val="14"/>
        </w:numPr>
        <w:spacing w:after="200" w:line="276" w:lineRule="auto"/>
        <w:jc w:val="both"/>
        <w:rPr>
          <w:rFonts w:cs="Arial"/>
        </w:rPr>
      </w:pPr>
      <w:r>
        <w:rPr>
          <w:rFonts w:cs="Arial"/>
        </w:rPr>
        <w:t>monitorizarea</w:t>
      </w:r>
      <w:r w:rsidR="00A07D56" w:rsidRPr="001F6659">
        <w:rPr>
          <w:rFonts w:cs="Arial"/>
        </w:rPr>
        <w:t xml:space="preserve"> durabilității proiectelor </w:t>
      </w:r>
      <w:r w:rsidR="00A07D56" w:rsidRPr="001F6659">
        <w:rPr>
          <w:rFonts w:cs="Arial"/>
          <w:lang w:val="vi-VN"/>
        </w:rPr>
        <w:t>POS CCE</w:t>
      </w:r>
      <w:r>
        <w:rPr>
          <w:rFonts w:cs="Arial"/>
        </w:rPr>
        <w:t xml:space="preserve"> </w:t>
      </w:r>
      <w:r w:rsidR="00A07D56" w:rsidRPr="001F6659">
        <w:rPr>
          <w:rFonts w:cs="Arial"/>
        </w:rPr>
        <w:t>pe parcursul anului 2016 (</w:t>
      </w:r>
      <w:r w:rsidR="00A07D56" w:rsidRPr="001F6659">
        <w:rPr>
          <w:rFonts w:cs="Arial"/>
          <w:i/>
          <w:iCs/>
        </w:rPr>
        <w:t>beneficiar O</w:t>
      </w:r>
      <w:r>
        <w:rPr>
          <w:rFonts w:cs="Arial"/>
          <w:i/>
          <w:iCs/>
        </w:rPr>
        <w:t>rganismul Intermediar pentru</w:t>
      </w:r>
      <w:r w:rsidR="00A07D56" w:rsidRPr="001F6659">
        <w:rPr>
          <w:rFonts w:cs="Arial"/>
          <w:i/>
          <w:iCs/>
        </w:rPr>
        <w:t xml:space="preserve"> Energie – în calitate de O</w:t>
      </w:r>
      <w:r>
        <w:rPr>
          <w:rFonts w:cs="Arial"/>
          <w:i/>
          <w:iCs/>
        </w:rPr>
        <w:t xml:space="preserve">rganism </w:t>
      </w:r>
      <w:r w:rsidR="00A07D56" w:rsidRPr="001F6659">
        <w:rPr>
          <w:rFonts w:cs="Arial"/>
          <w:i/>
          <w:iCs/>
        </w:rPr>
        <w:t>I</w:t>
      </w:r>
      <w:r>
        <w:rPr>
          <w:rFonts w:cs="Arial"/>
          <w:i/>
          <w:iCs/>
        </w:rPr>
        <w:t>ntermediar al</w:t>
      </w:r>
      <w:r w:rsidR="00A07D56" w:rsidRPr="001F6659">
        <w:rPr>
          <w:rFonts w:cs="Arial"/>
          <w:i/>
          <w:iCs/>
        </w:rPr>
        <w:t xml:space="preserve"> POS CCE</w:t>
      </w:r>
      <w:r w:rsidR="00A07D56" w:rsidRPr="001F6659">
        <w:rPr>
          <w:rFonts w:cs="Arial"/>
        </w:rPr>
        <w:t>)</w:t>
      </w:r>
      <w:r>
        <w:rPr>
          <w:rFonts w:cs="Arial"/>
        </w:rPr>
        <w:t>.</w:t>
      </w:r>
    </w:p>
    <w:p w:rsidR="001F6659" w:rsidRDefault="001F6659" w:rsidP="001F6659">
      <w:pPr>
        <w:spacing w:after="200" w:line="276" w:lineRule="auto"/>
        <w:rPr>
          <w:rFonts w:cs="Arial"/>
        </w:rPr>
      </w:pPr>
      <w:r>
        <w:rPr>
          <w:rFonts w:cs="Arial"/>
        </w:rPr>
        <w:t>În ceea ce privește proiectele aflate încă în implementare la sfârșitul anului 2017, acestea sunt dedicate:</w:t>
      </w:r>
    </w:p>
    <w:p w:rsidR="001F6659" w:rsidRDefault="001F6659" w:rsidP="001F6659">
      <w:pPr>
        <w:pStyle w:val="ListParagraph"/>
        <w:numPr>
          <w:ilvl w:val="0"/>
          <w:numId w:val="14"/>
        </w:numPr>
        <w:spacing w:after="200" w:line="276" w:lineRule="auto"/>
        <w:jc w:val="both"/>
        <w:rPr>
          <w:rFonts w:cs="Arial"/>
        </w:rPr>
      </w:pPr>
      <w:r w:rsidRPr="001F6659">
        <w:rPr>
          <w:rFonts w:cs="Arial"/>
        </w:rPr>
        <w:t xml:space="preserve">asigurării sprijinului logistic pentru funcționare pentru o serie de </w:t>
      </w:r>
      <w:r w:rsidR="00FE4CAF">
        <w:rPr>
          <w:rFonts w:cs="Arial"/>
        </w:rPr>
        <w:t>structuri implicate în coordonarea și controlul FESI</w:t>
      </w:r>
      <w:r w:rsidRPr="001F6659">
        <w:rPr>
          <w:rFonts w:cs="Arial"/>
        </w:rPr>
        <w:t xml:space="preserve">, precum </w:t>
      </w:r>
      <w:r w:rsidRPr="001F6659">
        <w:rPr>
          <w:rFonts w:cs="Arial"/>
          <w:i/>
        </w:rPr>
        <w:t>Autoritatea de Certificare și Plată, Autoritatea de Audit, Organismul Intermediar pentru Promovarea Societății Informaționale, Ministerul Fondurilor Europene - pentru structurile de coordonare FESI și Autoritățile de Management pentru POIM/POS Transport/ POS Mediu, POAT, POC/POS CCE</w:t>
      </w:r>
      <w:r w:rsidRPr="001F6659">
        <w:rPr>
          <w:rFonts w:cs="Arial"/>
        </w:rPr>
        <w:t>;</w:t>
      </w:r>
    </w:p>
    <w:p w:rsidR="001F6659" w:rsidRPr="001F6659" w:rsidRDefault="001F6659" w:rsidP="001F6659">
      <w:pPr>
        <w:pStyle w:val="ListParagraph"/>
        <w:numPr>
          <w:ilvl w:val="0"/>
          <w:numId w:val="14"/>
        </w:numPr>
        <w:spacing w:after="200" w:line="276" w:lineRule="auto"/>
        <w:jc w:val="both"/>
        <w:rPr>
          <w:rFonts w:cs="Arial"/>
        </w:rPr>
      </w:pPr>
      <w:r>
        <w:rPr>
          <w:rFonts w:cs="Arial"/>
        </w:rPr>
        <w:t>m</w:t>
      </w:r>
      <w:r w:rsidRPr="001F6659">
        <w:rPr>
          <w:rFonts w:cs="Arial"/>
        </w:rPr>
        <w:t>onitorizării durabilității proiectelor POS CCE (</w:t>
      </w:r>
      <w:r w:rsidRPr="001F6659">
        <w:rPr>
          <w:rFonts w:cs="Arial"/>
          <w:i/>
        </w:rPr>
        <w:t>beneficiari Agențiile de Dezvoltare Regională Vest, Nord Est, Nord Vest, Sud Vest Oltenia, Centru, Sud Muntenia și Sud Est – în calitate de Organisme Intermediare ale POS CCE</w:t>
      </w:r>
      <w:r w:rsidRPr="001F6659">
        <w:rPr>
          <w:rFonts w:cs="Arial"/>
        </w:rPr>
        <w:t>)</w:t>
      </w:r>
      <w:r w:rsidR="006301C4">
        <w:rPr>
          <w:rFonts w:cs="Arial"/>
        </w:rPr>
        <w:t>;</w:t>
      </w:r>
    </w:p>
    <w:p w:rsidR="001F6659" w:rsidRPr="001F6659" w:rsidRDefault="0029550D" w:rsidP="001F6659">
      <w:pPr>
        <w:pStyle w:val="ListParagraph"/>
        <w:numPr>
          <w:ilvl w:val="0"/>
          <w:numId w:val="14"/>
        </w:numPr>
        <w:spacing w:after="200" w:line="276" w:lineRule="auto"/>
        <w:jc w:val="both"/>
        <w:rPr>
          <w:rFonts w:cs="Arial"/>
        </w:rPr>
      </w:pPr>
      <w:r>
        <w:rPr>
          <w:rFonts w:cs="Arial"/>
        </w:rPr>
        <w:t>e</w:t>
      </w:r>
      <w:r w:rsidR="001F6659" w:rsidRPr="001F6659">
        <w:rPr>
          <w:rFonts w:cs="Arial"/>
        </w:rPr>
        <w:t>valuării proiectelor primite în cadrul Axei prioritare 1 POC și verificării administrative a cererilor de rambursare (</w:t>
      </w:r>
      <w:r w:rsidR="001F6659" w:rsidRPr="00AA586B">
        <w:rPr>
          <w:rFonts w:cs="Arial"/>
          <w:i/>
        </w:rPr>
        <w:t>beneficiar O</w:t>
      </w:r>
      <w:r w:rsidR="00AA586B" w:rsidRPr="00AA586B">
        <w:rPr>
          <w:rFonts w:cs="Arial"/>
          <w:i/>
        </w:rPr>
        <w:t xml:space="preserve">rganismul </w:t>
      </w:r>
      <w:r w:rsidR="001F6659" w:rsidRPr="00AA586B">
        <w:rPr>
          <w:rFonts w:cs="Arial"/>
          <w:i/>
        </w:rPr>
        <w:t>I</w:t>
      </w:r>
      <w:r w:rsidR="00AA586B" w:rsidRPr="00AA586B">
        <w:rPr>
          <w:rFonts w:cs="Arial"/>
          <w:i/>
        </w:rPr>
        <w:t>ntermediar</w:t>
      </w:r>
      <w:r w:rsidR="001F6659" w:rsidRPr="00AA586B">
        <w:rPr>
          <w:rFonts w:cs="Arial"/>
          <w:i/>
        </w:rPr>
        <w:t xml:space="preserve"> </w:t>
      </w:r>
      <w:r w:rsidR="00451199">
        <w:rPr>
          <w:rFonts w:cs="Arial"/>
          <w:i/>
        </w:rPr>
        <w:t xml:space="preserve">pentru </w:t>
      </w:r>
      <w:r w:rsidR="001F6659" w:rsidRPr="00AA586B">
        <w:rPr>
          <w:rFonts w:cs="Arial"/>
          <w:i/>
        </w:rPr>
        <w:t>Cercetare</w:t>
      </w:r>
      <w:r w:rsidR="001F6659" w:rsidRPr="001F6659">
        <w:rPr>
          <w:rFonts w:cs="Arial"/>
        </w:rPr>
        <w:t>)</w:t>
      </w:r>
      <w:r w:rsidR="006301C4">
        <w:rPr>
          <w:rFonts w:cs="Arial"/>
        </w:rPr>
        <w:t>;</w:t>
      </w:r>
    </w:p>
    <w:p w:rsidR="001F6659" w:rsidRPr="001F6659" w:rsidRDefault="0029550D" w:rsidP="001F6659">
      <w:pPr>
        <w:pStyle w:val="ListParagraph"/>
        <w:numPr>
          <w:ilvl w:val="0"/>
          <w:numId w:val="14"/>
        </w:numPr>
        <w:spacing w:after="200" w:line="276" w:lineRule="auto"/>
        <w:jc w:val="both"/>
        <w:rPr>
          <w:rFonts w:cs="Arial"/>
        </w:rPr>
      </w:pPr>
      <w:r>
        <w:rPr>
          <w:rFonts w:cs="Arial"/>
        </w:rPr>
        <w:t>m</w:t>
      </w:r>
      <w:r w:rsidR="001F6659" w:rsidRPr="001F6659">
        <w:rPr>
          <w:rFonts w:cs="Arial"/>
        </w:rPr>
        <w:t xml:space="preserve">onitorizării proiectelor, managementului financiar, verificării achizițiilor pentru perioada </w:t>
      </w:r>
      <w:r>
        <w:rPr>
          <w:rFonts w:cs="Arial"/>
        </w:rPr>
        <w:t xml:space="preserve">de programare </w:t>
      </w:r>
      <w:r w:rsidR="001F6659" w:rsidRPr="001F6659">
        <w:rPr>
          <w:rFonts w:cs="Arial"/>
        </w:rPr>
        <w:t xml:space="preserve">2014-2020, cât și pentru închiderea </w:t>
      </w:r>
      <w:r>
        <w:rPr>
          <w:rFonts w:cs="Arial"/>
        </w:rPr>
        <w:t xml:space="preserve">exercițiului financiar </w:t>
      </w:r>
      <w:r w:rsidR="001F6659" w:rsidRPr="001F6659">
        <w:rPr>
          <w:rFonts w:cs="Arial"/>
        </w:rPr>
        <w:t>2007-2013 (</w:t>
      </w:r>
      <w:r w:rsidR="001F6659" w:rsidRPr="0029550D">
        <w:rPr>
          <w:rFonts w:cs="Arial"/>
          <w:i/>
        </w:rPr>
        <w:t>beneficiar O</w:t>
      </w:r>
      <w:r w:rsidR="00AA586B" w:rsidRPr="0029550D">
        <w:rPr>
          <w:rFonts w:cs="Arial"/>
          <w:i/>
        </w:rPr>
        <w:t xml:space="preserve">rganismul </w:t>
      </w:r>
      <w:r w:rsidR="001F6659" w:rsidRPr="0029550D">
        <w:rPr>
          <w:rFonts w:cs="Arial"/>
          <w:i/>
        </w:rPr>
        <w:t>I</w:t>
      </w:r>
      <w:r w:rsidRPr="0029550D">
        <w:rPr>
          <w:rFonts w:cs="Arial"/>
          <w:i/>
        </w:rPr>
        <w:t xml:space="preserve">ntermediar pentru </w:t>
      </w:r>
      <w:r w:rsidR="001F6659" w:rsidRPr="0029550D">
        <w:rPr>
          <w:rFonts w:cs="Arial"/>
          <w:i/>
        </w:rPr>
        <w:t>P</w:t>
      </w:r>
      <w:r w:rsidRPr="0029550D">
        <w:rPr>
          <w:rFonts w:cs="Arial"/>
          <w:i/>
        </w:rPr>
        <w:t xml:space="preserve">romovarea </w:t>
      </w:r>
      <w:r w:rsidR="001F6659" w:rsidRPr="0029550D">
        <w:rPr>
          <w:rFonts w:cs="Arial"/>
          <w:i/>
        </w:rPr>
        <w:t>S</w:t>
      </w:r>
      <w:r w:rsidRPr="0029550D">
        <w:rPr>
          <w:rFonts w:cs="Arial"/>
          <w:i/>
        </w:rPr>
        <w:t xml:space="preserve">ocietății </w:t>
      </w:r>
      <w:r w:rsidR="001F6659" w:rsidRPr="0029550D">
        <w:rPr>
          <w:rFonts w:cs="Arial"/>
          <w:i/>
        </w:rPr>
        <w:t>I</w:t>
      </w:r>
      <w:r w:rsidRPr="0029550D">
        <w:rPr>
          <w:rFonts w:cs="Arial"/>
          <w:i/>
        </w:rPr>
        <w:t>nformaționale</w:t>
      </w:r>
      <w:r w:rsidR="001F6659" w:rsidRPr="001F6659">
        <w:rPr>
          <w:rFonts w:cs="Arial"/>
        </w:rPr>
        <w:t>)</w:t>
      </w:r>
      <w:r w:rsidR="006301C4">
        <w:rPr>
          <w:rFonts w:cs="Arial"/>
        </w:rPr>
        <w:t>;</w:t>
      </w:r>
    </w:p>
    <w:p w:rsidR="001F6659" w:rsidRPr="00FE4CAF" w:rsidRDefault="006301C4" w:rsidP="00FE4CAF">
      <w:pPr>
        <w:pStyle w:val="ListParagraph"/>
        <w:numPr>
          <w:ilvl w:val="0"/>
          <w:numId w:val="14"/>
        </w:numPr>
        <w:spacing w:after="200" w:line="276" w:lineRule="auto"/>
        <w:jc w:val="both"/>
        <w:rPr>
          <w:rFonts w:cs="Arial"/>
        </w:rPr>
      </w:pPr>
      <w:r>
        <w:rPr>
          <w:rFonts w:cstheme="minorHAnsi"/>
        </w:rPr>
        <w:lastRenderedPageBreak/>
        <w:t>asistenț</w:t>
      </w:r>
      <w:r w:rsidR="00CF1B02">
        <w:rPr>
          <w:rFonts w:cstheme="minorHAnsi"/>
        </w:rPr>
        <w:t>ei</w:t>
      </w:r>
      <w:r>
        <w:rPr>
          <w:rFonts w:cstheme="minorHAnsi"/>
        </w:rPr>
        <w:t xml:space="preserve"> pentru închiderea POSM și POST, </w:t>
      </w:r>
      <w:r w:rsidR="00CF1B02">
        <w:rPr>
          <w:rFonts w:cstheme="minorHAnsi"/>
        </w:rPr>
        <w:t xml:space="preserve">prin </w:t>
      </w:r>
      <w:r>
        <w:rPr>
          <w:rFonts w:cstheme="minorHAnsi"/>
        </w:rPr>
        <w:t>elaborarea R</w:t>
      </w:r>
      <w:r w:rsidR="00CF1B02">
        <w:rPr>
          <w:rFonts w:cstheme="minorHAnsi"/>
        </w:rPr>
        <w:t xml:space="preserve">aportului </w:t>
      </w:r>
      <w:r>
        <w:rPr>
          <w:rFonts w:cstheme="minorHAnsi"/>
        </w:rPr>
        <w:t>F</w:t>
      </w:r>
      <w:r w:rsidR="00CF1B02">
        <w:rPr>
          <w:rFonts w:cstheme="minorHAnsi"/>
        </w:rPr>
        <w:t xml:space="preserve">inal de </w:t>
      </w:r>
      <w:r>
        <w:rPr>
          <w:rFonts w:cstheme="minorHAnsi"/>
        </w:rPr>
        <w:t>I</w:t>
      </w:r>
      <w:r w:rsidR="00CF1B02">
        <w:rPr>
          <w:rFonts w:cstheme="minorHAnsi"/>
        </w:rPr>
        <w:t>mplementare</w:t>
      </w:r>
      <w:r>
        <w:rPr>
          <w:rFonts w:cstheme="minorHAnsi"/>
        </w:rPr>
        <w:t xml:space="preserve"> pentru POSM și POST</w:t>
      </w:r>
      <w:r w:rsidR="00CF1B02">
        <w:rPr>
          <w:rFonts w:cstheme="minorHAnsi"/>
        </w:rPr>
        <w:t xml:space="preserve"> 2007-2013</w:t>
      </w:r>
      <w:r>
        <w:rPr>
          <w:rFonts w:cstheme="minorHAnsi"/>
        </w:rPr>
        <w:t>, elaborarea unui Ghid pentru beneficiarii proiectelor finanțate din POIM, colectarea informațiilor și pregătirea cadrului financiar pentru infrastructura rutieră și feroviară pentru perioada 2014-2020</w:t>
      </w:r>
      <w:r w:rsidR="00451199">
        <w:rPr>
          <w:rFonts w:cstheme="minorHAnsi"/>
        </w:rPr>
        <w:t xml:space="preserve"> </w:t>
      </w:r>
      <w:r w:rsidR="00451199">
        <w:rPr>
          <w:rFonts w:cs="Arial"/>
        </w:rPr>
        <w:t>(</w:t>
      </w:r>
      <w:r w:rsidR="00451199" w:rsidRPr="00451199">
        <w:rPr>
          <w:rFonts w:cs="Arial"/>
          <w:i/>
        </w:rPr>
        <w:t xml:space="preserve">beneficiar </w:t>
      </w:r>
      <w:r w:rsidR="00451199">
        <w:rPr>
          <w:rFonts w:cs="Arial"/>
          <w:i/>
        </w:rPr>
        <w:t xml:space="preserve">Ministerul Fondurilor Europene prin </w:t>
      </w:r>
      <w:r w:rsidR="00451199" w:rsidRPr="00451199">
        <w:rPr>
          <w:rFonts w:cs="Arial"/>
          <w:i/>
        </w:rPr>
        <w:t xml:space="preserve">Autoritatea de Management pentru Programul Operațional </w:t>
      </w:r>
      <w:r w:rsidR="00451199">
        <w:rPr>
          <w:rFonts w:cs="Arial"/>
          <w:i/>
        </w:rPr>
        <w:t>Infrastructură Mare</w:t>
      </w:r>
      <w:r w:rsidR="00451199">
        <w:rPr>
          <w:rFonts w:cs="Arial"/>
        </w:rPr>
        <w:t>)</w:t>
      </w:r>
      <w:r w:rsidR="00FE4CAF">
        <w:rPr>
          <w:rFonts w:cs="Arial"/>
        </w:rPr>
        <w:t>.</w:t>
      </w:r>
    </w:p>
    <w:p w:rsidR="00705C91" w:rsidRDefault="000443A1" w:rsidP="00705C91">
      <w:pPr>
        <w:spacing w:line="276" w:lineRule="auto"/>
        <w:jc w:val="both"/>
        <w:rPr>
          <w:rFonts w:cstheme="minorHAnsi"/>
        </w:rPr>
      </w:pPr>
      <w:r w:rsidRPr="00AF1F44">
        <w:rPr>
          <w:rFonts w:cstheme="minorHAnsi"/>
        </w:rPr>
        <w:t>Referitor la stadiul plăţilor</w:t>
      </w:r>
      <w:r w:rsidR="00AF1F44" w:rsidRPr="00AF1F44">
        <w:rPr>
          <w:rFonts w:cstheme="minorHAnsi"/>
        </w:rPr>
        <w:t>, în cadrul</w:t>
      </w:r>
      <w:r w:rsidR="00AF1F44">
        <w:rPr>
          <w:rFonts w:cstheme="minorHAnsi"/>
        </w:rPr>
        <w:t xml:space="preserve"> acestei axe au fost efectuate </w:t>
      </w:r>
      <w:r w:rsidR="00AF1F44" w:rsidRPr="00B10A6D">
        <w:rPr>
          <w:rFonts w:cstheme="minorHAnsi"/>
        </w:rPr>
        <w:t>plăți</w:t>
      </w:r>
      <w:r w:rsidR="00AF1F44">
        <w:rPr>
          <w:rFonts w:cstheme="minorHAnsi"/>
        </w:rPr>
        <w:t xml:space="preserve"> FEDR în valoare </w:t>
      </w:r>
      <w:r w:rsidR="00AF1F44" w:rsidRPr="00B10A6D">
        <w:rPr>
          <w:rFonts w:cstheme="minorHAnsi"/>
        </w:rPr>
        <w:t>de 3,23 mil. euro și de la bugetul de stat pentru asigurarea contribuției publice solicitate de A</w:t>
      </w:r>
      <w:r w:rsidR="00AF1F44">
        <w:rPr>
          <w:rFonts w:cstheme="minorHAnsi"/>
        </w:rPr>
        <w:t xml:space="preserve">gențiile pentru </w:t>
      </w:r>
      <w:r w:rsidR="00AF1F44" w:rsidRPr="00B10A6D">
        <w:rPr>
          <w:rFonts w:cstheme="minorHAnsi"/>
        </w:rPr>
        <w:t>D</w:t>
      </w:r>
      <w:r w:rsidR="00AF1F44">
        <w:rPr>
          <w:rFonts w:cstheme="minorHAnsi"/>
        </w:rPr>
        <w:t xml:space="preserve">ezvoltare </w:t>
      </w:r>
      <w:r w:rsidR="00AF1F44" w:rsidRPr="00B10A6D">
        <w:rPr>
          <w:rFonts w:cstheme="minorHAnsi"/>
        </w:rPr>
        <w:t>R</w:t>
      </w:r>
      <w:r w:rsidR="00AF1F44">
        <w:rPr>
          <w:rFonts w:cstheme="minorHAnsi"/>
        </w:rPr>
        <w:t>egională</w:t>
      </w:r>
      <w:r w:rsidR="00AF1F44" w:rsidRPr="00B10A6D">
        <w:rPr>
          <w:rFonts w:cstheme="minorHAnsi"/>
        </w:rPr>
        <w:t xml:space="preserve"> în valoare </w:t>
      </w:r>
      <w:r w:rsidR="00AF1F44">
        <w:rPr>
          <w:rFonts w:cstheme="minorHAnsi"/>
        </w:rPr>
        <w:t xml:space="preserve">totală </w:t>
      </w:r>
      <w:r w:rsidR="00AF1F44" w:rsidRPr="00B10A6D">
        <w:rPr>
          <w:rFonts w:cstheme="minorHAnsi"/>
        </w:rPr>
        <w:t>de 0,26 mil. euro.</w:t>
      </w:r>
    </w:p>
    <w:p w:rsidR="003B38FD" w:rsidRPr="00AF1F44" w:rsidRDefault="0046794B" w:rsidP="00705C91">
      <w:pPr>
        <w:pStyle w:val="ListParagraph"/>
        <w:numPr>
          <w:ilvl w:val="0"/>
          <w:numId w:val="8"/>
        </w:numPr>
        <w:spacing w:line="276" w:lineRule="auto"/>
        <w:jc w:val="both"/>
        <w:rPr>
          <w:rFonts w:cs="Arial"/>
        </w:rPr>
      </w:pPr>
      <w:r w:rsidRPr="00705C91">
        <w:rPr>
          <w:b/>
        </w:rPr>
        <w:t>în cadrul</w:t>
      </w:r>
      <w:r w:rsidR="003A6A0C" w:rsidRPr="000D5ED9">
        <w:t xml:space="preserve"> </w:t>
      </w:r>
      <w:r w:rsidR="003A6A0C" w:rsidRPr="00705C91">
        <w:rPr>
          <w:b/>
        </w:rPr>
        <w:t>axei prioritare 3</w:t>
      </w:r>
      <w:r w:rsidR="003A6A0C">
        <w:t xml:space="preserve">, </w:t>
      </w:r>
      <w:r w:rsidR="00270B50" w:rsidRPr="00705C91">
        <w:rPr>
          <w:rFonts w:cstheme="minorHAnsi"/>
        </w:rPr>
        <w:t xml:space="preserve">au </w:t>
      </w:r>
      <w:r w:rsidR="00270B50" w:rsidRPr="00AF1F44">
        <w:rPr>
          <w:rFonts w:cstheme="minorHAnsi"/>
        </w:rPr>
        <w:t>fost semnate</w:t>
      </w:r>
      <w:r w:rsidR="003B38FD" w:rsidRPr="00AF1F44">
        <w:rPr>
          <w:rFonts w:cstheme="minorHAnsi"/>
        </w:rPr>
        <w:t xml:space="preserve"> </w:t>
      </w:r>
      <w:r w:rsidR="00270B50" w:rsidRPr="00AF1F44">
        <w:rPr>
          <w:rFonts w:cstheme="minorHAnsi"/>
        </w:rPr>
        <w:t xml:space="preserve">contracte/decizii de finanțare pentru </w:t>
      </w:r>
      <w:r w:rsidR="00AF1F44" w:rsidRPr="00AF1F44">
        <w:rPr>
          <w:rFonts w:cstheme="minorHAnsi"/>
        </w:rPr>
        <w:t>14</w:t>
      </w:r>
      <w:r w:rsidR="003B38FD" w:rsidRPr="00AF1F44">
        <w:rPr>
          <w:rFonts w:cstheme="minorHAnsi"/>
        </w:rPr>
        <w:t xml:space="preserve"> </w:t>
      </w:r>
      <w:r w:rsidR="00270B50" w:rsidRPr="00AF1F44">
        <w:rPr>
          <w:rFonts w:cstheme="minorHAnsi"/>
        </w:rPr>
        <w:t xml:space="preserve">din cele </w:t>
      </w:r>
      <w:r w:rsidR="00AF1F44" w:rsidRPr="00AF1F44">
        <w:rPr>
          <w:rFonts w:cstheme="minorHAnsi"/>
        </w:rPr>
        <w:t>22</w:t>
      </w:r>
      <w:r w:rsidR="00270B50" w:rsidRPr="00AF1F44">
        <w:rPr>
          <w:rFonts w:cstheme="minorHAnsi"/>
        </w:rPr>
        <w:t xml:space="preserve"> proiecte</w:t>
      </w:r>
      <w:r w:rsidR="003B38FD" w:rsidRPr="00AF1F44">
        <w:rPr>
          <w:rFonts w:cstheme="minorHAnsi"/>
        </w:rPr>
        <w:t xml:space="preserve"> </w:t>
      </w:r>
      <w:r w:rsidR="00270B50" w:rsidRPr="00AF1F44">
        <w:rPr>
          <w:rFonts w:cstheme="minorHAnsi"/>
        </w:rPr>
        <w:t>depuse. V</w:t>
      </w:r>
      <w:r w:rsidR="003B38FD" w:rsidRPr="00AF1F44">
        <w:rPr>
          <w:rFonts w:cstheme="minorHAnsi"/>
        </w:rPr>
        <w:t>aloare</w:t>
      </w:r>
      <w:r w:rsidR="00270B50" w:rsidRPr="00AF1F44">
        <w:rPr>
          <w:rFonts w:cstheme="minorHAnsi"/>
        </w:rPr>
        <w:t>a</w:t>
      </w:r>
      <w:r w:rsidR="003B38FD" w:rsidRPr="00AF1F44">
        <w:rPr>
          <w:rFonts w:cstheme="minorHAnsi"/>
        </w:rPr>
        <w:t xml:space="preserve"> eligibilă totală </w:t>
      </w:r>
      <w:r w:rsidR="00270B50" w:rsidRPr="00AF1F44">
        <w:rPr>
          <w:rFonts w:cstheme="minorHAnsi"/>
        </w:rPr>
        <w:t xml:space="preserve">a acestor contracte este </w:t>
      </w:r>
      <w:r w:rsidR="003B38FD" w:rsidRPr="00AF1F44">
        <w:rPr>
          <w:rFonts w:cstheme="minorHAnsi"/>
        </w:rPr>
        <w:t xml:space="preserve">de </w:t>
      </w:r>
      <w:r w:rsidR="00AF1F44" w:rsidRPr="00AF1F44">
        <w:rPr>
          <w:rFonts w:cstheme="minorHAnsi"/>
        </w:rPr>
        <w:t>71,52</w:t>
      </w:r>
      <w:r w:rsidR="003B38FD" w:rsidRPr="00AF1F44">
        <w:rPr>
          <w:rFonts w:cstheme="minorHAnsi"/>
        </w:rPr>
        <w:t xml:space="preserve"> mil. euro</w:t>
      </w:r>
      <w:r w:rsidR="00270B50" w:rsidRPr="00AF1F44">
        <w:rPr>
          <w:rFonts w:cstheme="minorHAnsi"/>
        </w:rPr>
        <w:t>,</w:t>
      </w:r>
      <w:r w:rsidR="003B38FD" w:rsidRPr="00AF1F44">
        <w:rPr>
          <w:rFonts w:cstheme="minorHAnsi"/>
        </w:rPr>
        <w:t xml:space="preserve"> din care FEDR </w:t>
      </w:r>
      <w:r w:rsidR="00AF1F44" w:rsidRPr="00AF1F44">
        <w:rPr>
          <w:rFonts w:cstheme="minorHAnsi"/>
        </w:rPr>
        <w:t>6</w:t>
      </w:r>
      <w:r w:rsidR="003B38FD" w:rsidRPr="00AF1F44">
        <w:rPr>
          <w:rFonts w:cstheme="minorHAnsi"/>
        </w:rPr>
        <w:t>0,5</w:t>
      </w:r>
      <w:r w:rsidR="00AF1F44" w:rsidRPr="00AF1F44">
        <w:rPr>
          <w:rFonts w:cstheme="minorHAnsi"/>
        </w:rPr>
        <w:t>7</w:t>
      </w:r>
      <w:r w:rsidR="003B38FD" w:rsidRPr="00AF1F44">
        <w:rPr>
          <w:rFonts w:cstheme="minorHAnsi"/>
        </w:rPr>
        <w:t xml:space="preserve"> mil. euro, gradul de contractare </w:t>
      </w:r>
      <w:r w:rsidR="00270B50" w:rsidRPr="00AF1F44">
        <w:rPr>
          <w:rFonts w:cstheme="minorHAnsi"/>
        </w:rPr>
        <w:t xml:space="preserve">la nivel de axă </w:t>
      </w:r>
      <w:r w:rsidR="003B38FD" w:rsidRPr="00AF1F44">
        <w:rPr>
          <w:rFonts w:cstheme="minorHAnsi"/>
        </w:rPr>
        <w:t xml:space="preserve">ajungând la </w:t>
      </w:r>
      <w:r w:rsidR="00AF1F44" w:rsidRPr="00AF1F44">
        <w:rPr>
          <w:rFonts w:cstheme="minorHAnsi"/>
        </w:rPr>
        <w:t>64,56</w:t>
      </w:r>
      <w:r w:rsidR="003B38FD" w:rsidRPr="00AF1F44">
        <w:rPr>
          <w:rFonts w:cstheme="minorHAnsi"/>
        </w:rPr>
        <w:t>%.</w:t>
      </w:r>
    </w:p>
    <w:p w:rsidR="00CD356C" w:rsidRDefault="003B38FD" w:rsidP="003B38FD">
      <w:pPr>
        <w:spacing w:after="200" w:line="276" w:lineRule="auto"/>
        <w:jc w:val="both"/>
      </w:pPr>
      <w:r w:rsidRPr="0020674F">
        <w:rPr>
          <w:rFonts w:cstheme="minorHAnsi"/>
        </w:rPr>
        <w:t>P</w:t>
      </w:r>
      <w:r w:rsidR="003A6A0C" w:rsidRPr="0020674F">
        <w:t>roiectele contractate</w:t>
      </w:r>
      <w:r w:rsidR="003A6A0C">
        <w:t xml:space="preserve"> </w:t>
      </w:r>
      <w:r w:rsidR="00FE4CAF">
        <w:t xml:space="preserve">și aflate în implementare </w:t>
      </w:r>
      <w:r w:rsidR="00FE4CAF" w:rsidRPr="0020674F">
        <w:t xml:space="preserve">în cadrul acestei axe </w:t>
      </w:r>
      <w:r w:rsidR="003A6A0C" w:rsidRPr="0020674F">
        <w:t>s</w:t>
      </w:r>
      <w:r w:rsidRPr="0020674F">
        <w:t>e</w:t>
      </w:r>
      <w:r w:rsidR="003A6A0C" w:rsidRPr="0020674F">
        <w:t xml:space="preserve"> ax</w:t>
      </w:r>
      <w:r w:rsidRPr="0020674F">
        <w:t>ează</w:t>
      </w:r>
      <w:r w:rsidR="003A6A0C" w:rsidRPr="0020674F">
        <w:t xml:space="preserve"> pe </w:t>
      </w:r>
      <w:r w:rsidR="00FE4CAF" w:rsidRPr="0020674F">
        <w:t xml:space="preserve">formarea continuă a personalului </w:t>
      </w:r>
      <w:r w:rsidR="0020674F" w:rsidRPr="0020674F">
        <w:t xml:space="preserve">din cadrul sistemului de coordonare, gestionare și control al fondurilor ESI, </w:t>
      </w:r>
      <w:r w:rsidR="00FE4CAF" w:rsidRPr="0020674F">
        <w:t xml:space="preserve">în vederea gestionării eficiente a </w:t>
      </w:r>
      <w:r w:rsidR="0020674F" w:rsidRPr="0020674F">
        <w:t>acestora</w:t>
      </w:r>
      <w:r w:rsidR="003A6A0C" w:rsidRPr="0020674F">
        <w:t xml:space="preserve">, </w:t>
      </w:r>
      <w:r w:rsidR="0020674F" w:rsidRPr="0020674F">
        <w:t xml:space="preserve">precum și pe </w:t>
      </w:r>
      <w:r w:rsidR="003A6A0C" w:rsidRPr="0020674F">
        <w:t xml:space="preserve">asigurarea resurselor financiare pentru </w:t>
      </w:r>
      <w:r w:rsidR="0020674F">
        <w:t xml:space="preserve">remunerarea </w:t>
      </w:r>
      <w:r w:rsidR="003A6A0C" w:rsidRPr="0020674F">
        <w:t xml:space="preserve">personalului </w:t>
      </w:r>
      <w:r w:rsidR="0020674F">
        <w:t>din sistemul de coordonarea și control al</w:t>
      </w:r>
      <w:r w:rsidR="003A6A0C" w:rsidRPr="0020674F">
        <w:t xml:space="preserve"> FESI și </w:t>
      </w:r>
      <w:r w:rsidR="0020674F">
        <w:t xml:space="preserve">din sistemul de </w:t>
      </w:r>
      <w:r w:rsidR="003A6A0C" w:rsidRPr="0020674F">
        <w:t>management</w:t>
      </w:r>
      <w:r w:rsidR="0020674F">
        <w:t xml:space="preserve"> a</w:t>
      </w:r>
      <w:r w:rsidR="003A6A0C" w:rsidRPr="0020674F">
        <w:t xml:space="preserve">l </w:t>
      </w:r>
      <w:r w:rsidR="0020674F" w:rsidRPr="0020674F">
        <w:t>POAT</w:t>
      </w:r>
      <w:r w:rsidR="0020674F">
        <w:t>,</w:t>
      </w:r>
      <w:r w:rsidR="0020674F" w:rsidRPr="0020674F">
        <w:t xml:space="preserve"> </w:t>
      </w:r>
      <w:r w:rsidR="003A6A0C" w:rsidRPr="0020674F">
        <w:t xml:space="preserve">POIM </w:t>
      </w:r>
      <w:r w:rsidR="0020674F" w:rsidRPr="0020674F">
        <w:t xml:space="preserve">și </w:t>
      </w:r>
      <w:r w:rsidR="003A6A0C" w:rsidRPr="0020674F">
        <w:t>POC.</w:t>
      </w:r>
    </w:p>
    <w:p w:rsidR="0020674F" w:rsidRPr="0020674F" w:rsidRDefault="0020674F" w:rsidP="003B38FD">
      <w:pPr>
        <w:spacing w:after="200" w:line="276" w:lineRule="auto"/>
        <w:jc w:val="both"/>
        <w:rPr>
          <w:rFonts w:cs="Arial"/>
        </w:rPr>
      </w:pPr>
      <w:r>
        <w:t>În luna septembrie 2017 a fost finalizat proiectul Ministerului Mediului care viza f</w:t>
      </w:r>
      <w:r w:rsidRPr="0020674F">
        <w:rPr>
          <w:lang w:val="vi-VN"/>
        </w:rPr>
        <w:t>orm</w:t>
      </w:r>
      <w:r w:rsidRPr="0020674F">
        <w:t xml:space="preserve">area </w:t>
      </w:r>
      <w:r w:rsidRPr="0020674F">
        <w:rPr>
          <w:lang w:val="vi-VN"/>
        </w:rPr>
        <w:t>profesional</w:t>
      </w:r>
      <w:r w:rsidRPr="0020674F">
        <w:t>ă</w:t>
      </w:r>
      <w:r w:rsidRPr="0020674F">
        <w:rPr>
          <w:lang w:val="vi-VN"/>
        </w:rPr>
        <w:t xml:space="preserve"> a personalului autorităților competente pentru protecția mediului privind evaluarea impactului asupra mediului și evaluarea de mediu pentru perioada 2014-2020</w:t>
      </w:r>
      <w:r>
        <w:t>, urmare implementării acestuia fiind format</w:t>
      </w:r>
      <w:r w:rsidR="00D75B0A">
        <w:t>e</w:t>
      </w:r>
      <w:r>
        <w:t xml:space="preserve"> 392 persoane.</w:t>
      </w:r>
    </w:p>
    <w:p w:rsidR="001C3FBF" w:rsidRPr="003B38FD" w:rsidRDefault="0020674F" w:rsidP="003B38FD">
      <w:pPr>
        <w:jc w:val="both"/>
        <w:rPr>
          <w:rFonts w:cstheme="minorHAnsi"/>
        </w:rPr>
      </w:pPr>
      <w:r>
        <w:t>Până la 31 decembrie 2017, î</w:t>
      </w:r>
      <w:r w:rsidR="00387822" w:rsidRPr="00AF1F44">
        <w:t xml:space="preserve">n cadrul </w:t>
      </w:r>
      <w:r w:rsidR="003B38FD" w:rsidRPr="00AF1F44">
        <w:t>acestei axe,</w:t>
      </w:r>
      <w:r w:rsidR="00D034AB" w:rsidRPr="0046794B">
        <w:rPr>
          <w:rFonts w:cstheme="minorHAnsi"/>
        </w:rPr>
        <w:t xml:space="preserve"> </w:t>
      </w:r>
      <w:r w:rsidR="00AF1F44" w:rsidRPr="00AF1F44">
        <w:rPr>
          <w:rFonts w:cstheme="minorHAnsi"/>
        </w:rPr>
        <w:t>au fost efectuate</w:t>
      </w:r>
      <w:r w:rsidR="00AF1F44">
        <w:rPr>
          <w:rFonts w:cstheme="minorHAnsi"/>
        </w:rPr>
        <w:t xml:space="preserve"> </w:t>
      </w:r>
      <w:r w:rsidR="00AF1F44" w:rsidRPr="00AF1F44">
        <w:rPr>
          <w:rFonts w:cstheme="minorHAnsi"/>
        </w:rPr>
        <w:t>plăți</w:t>
      </w:r>
      <w:r w:rsidR="00AF1F44">
        <w:rPr>
          <w:rFonts w:cstheme="minorHAnsi"/>
        </w:rPr>
        <w:t xml:space="preserve"> către beneficiari</w:t>
      </w:r>
      <w:r w:rsidR="00AF1F44" w:rsidRPr="00AF1F44">
        <w:rPr>
          <w:rFonts w:cstheme="minorHAnsi"/>
        </w:rPr>
        <w:t xml:space="preserve"> în valoare totală de 44,75 mil. euro FEDR.</w:t>
      </w:r>
    </w:p>
    <w:p w:rsidR="003468E7" w:rsidRDefault="00F76BF4" w:rsidP="009B1DD5">
      <w:pPr>
        <w:spacing w:line="276" w:lineRule="auto"/>
        <w:jc w:val="both"/>
      </w:pPr>
      <w:r>
        <w:t xml:space="preserve">În contextul celor de mai sus, </w:t>
      </w:r>
      <w:r w:rsidR="003B38FD" w:rsidRPr="009F28B6">
        <w:t>grad</w:t>
      </w:r>
      <w:r w:rsidR="00AF1F44">
        <w:t>ul ridicat</w:t>
      </w:r>
      <w:r w:rsidR="003B38FD" w:rsidRPr="009F28B6">
        <w:t xml:space="preserve"> de contractare</w:t>
      </w:r>
      <w:r w:rsidR="00AF1F44">
        <w:t xml:space="preserve"> înregistrat la nivelul axei prioritare 3 este datorat</w:t>
      </w:r>
      <w:r w:rsidR="009B1DD5" w:rsidRPr="009F28B6">
        <w:t>, în principal, finanțării</w:t>
      </w:r>
      <w:r w:rsidR="009B1DD5" w:rsidRPr="00F20702">
        <w:t xml:space="preserve"> rambursării cheltuielilor salariale acordate personalului implicat în coordonarea, gestionarea și controlul </w:t>
      </w:r>
      <w:r w:rsidR="00AF1F44">
        <w:t xml:space="preserve">fondurilor </w:t>
      </w:r>
      <w:r w:rsidR="009B1DD5" w:rsidRPr="00F20702">
        <w:t>ESI.</w:t>
      </w:r>
    </w:p>
    <w:p w:rsidR="00AF1F44" w:rsidRPr="00052911" w:rsidRDefault="002B6109" w:rsidP="00AF1F44">
      <w:pPr>
        <w:spacing w:line="276" w:lineRule="auto"/>
        <w:jc w:val="both"/>
      </w:pPr>
      <w:r>
        <w:t>V</w:t>
      </w:r>
      <w:r w:rsidR="00AF1F44" w:rsidRPr="00052911">
        <w:t xml:space="preserve">aloarea eligibilă </w:t>
      </w:r>
      <w:r>
        <w:t xml:space="preserve">totală </w:t>
      </w:r>
      <w:r w:rsidR="00AF1F44" w:rsidRPr="00052911">
        <w:t>a cheltuielilor incluse în declarațiile trimise la A</w:t>
      </w:r>
      <w:r>
        <w:t xml:space="preserve">utoritatea de </w:t>
      </w:r>
      <w:r w:rsidR="00AF1F44" w:rsidRPr="00052911">
        <w:t>C</w:t>
      </w:r>
      <w:r>
        <w:t xml:space="preserve">ertificare și </w:t>
      </w:r>
      <w:r w:rsidR="00AF1F44" w:rsidRPr="00052911">
        <w:t>P</w:t>
      </w:r>
      <w:r>
        <w:t>lată, până la 31 decembrie 2017,</w:t>
      </w:r>
      <w:r w:rsidR="00AF1F44" w:rsidRPr="00052911">
        <w:t xml:space="preserve"> este de 58,09 mil. euro, din care 49,20 mil. euro FEDR, reprezentând 23,12</w:t>
      </w:r>
      <w:r>
        <w:t>% din alocare.</w:t>
      </w:r>
    </w:p>
    <w:p w:rsidR="00AF1F44" w:rsidRDefault="002B6109" w:rsidP="00AF1F44">
      <w:pPr>
        <w:spacing w:line="276" w:lineRule="auto"/>
        <w:jc w:val="both"/>
      </w:pPr>
      <w:r>
        <w:t xml:space="preserve">Având în vedere prevederile </w:t>
      </w:r>
      <w:r w:rsidRPr="002B6109">
        <w:t>art.</w:t>
      </w:r>
      <w:r>
        <w:t xml:space="preserve"> </w:t>
      </w:r>
      <w:r w:rsidRPr="002B6109">
        <w:t>130</w:t>
      </w:r>
      <w:r>
        <w:t xml:space="preserve">, alin. </w:t>
      </w:r>
      <w:r w:rsidRPr="002B6109">
        <w:t>(1) din Reg</w:t>
      </w:r>
      <w:r>
        <w:t>ulamentul</w:t>
      </w:r>
      <w:r w:rsidRPr="002B6109">
        <w:t xml:space="preserve"> (</w:t>
      </w:r>
      <w:r>
        <w:t>U</w:t>
      </w:r>
      <w:r w:rsidRPr="002B6109">
        <w:t>E) nr.</w:t>
      </w:r>
      <w:r>
        <w:t xml:space="preserve"> </w:t>
      </w:r>
      <w:r w:rsidRPr="002B6109">
        <w:t>1303/2013</w:t>
      </w:r>
      <w:r>
        <w:t>, conform cărora r</w:t>
      </w:r>
      <w:r w:rsidRPr="002B6109">
        <w:t>ambursările de la CE reprezintă 90% din suma solicitată de ACP prin aplicațiile intermediare de plată</w:t>
      </w:r>
      <w:r>
        <w:t xml:space="preserve">, până la sfârșitul anului 2017, </w:t>
      </w:r>
      <w:r w:rsidRPr="00052911">
        <w:t>C</w:t>
      </w:r>
      <w:r>
        <w:t xml:space="preserve">omisia </w:t>
      </w:r>
      <w:r w:rsidRPr="00052911">
        <w:t>E</w:t>
      </w:r>
      <w:r>
        <w:t>uropeană a transferat în conturile ACP</w:t>
      </w:r>
      <w:r w:rsidRPr="00052911">
        <w:t xml:space="preserve"> </w:t>
      </w:r>
      <w:r w:rsidR="00AF1F44" w:rsidRPr="00052911">
        <w:t>44,59 mil. euro</w:t>
      </w:r>
      <w:r>
        <w:t xml:space="preserve"> FEDR</w:t>
      </w:r>
      <w:r w:rsidR="00AF1F44" w:rsidRPr="00052911">
        <w:t>, rep</w:t>
      </w:r>
      <w:r>
        <w:t>rezentând 21% din alocare.</w:t>
      </w:r>
    </w:p>
    <w:p w:rsidR="004C70D7" w:rsidRDefault="004C70D7" w:rsidP="004C70D7">
      <w:pPr>
        <w:spacing w:after="200" w:line="276" w:lineRule="auto"/>
        <w:jc w:val="both"/>
        <w:rPr>
          <w:rFonts w:cstheme="minorHAnsi"/>
        </w:rPr>
      </w:pPr>
      <w:r>
        <w:rPr>
          <w:rFonts w:cstheme="minorHAnsi"/>
        </w:rPr>
        <w:t>Pe parcursul anului 201</w:t>
      </w:r>
      <w:r w:rsidR="00705C91">
        <w:rPr>
          <w:rFonts w:cstheme="minorHAnsi"/>
        </w:rPr>
        <w:t>7</w:t>
      </w:r>
      <w:r>
        <w:rPr>
          <w:rFonts w:cstheme="minorHAnsi"/>
        </w:rPr>
        <w:t xml:space="preserve">, </w:t>
      </w:r>
      <w:r w:rsidR="00C31D08">
        <w:rPr>
          <w:rFonts w:cstheme="minorHAnsi"/>
        </w:rPr>
        <w:t xml:space="preserve">în contextul asigurării continuității intervențiilor POAT </w:t>
      </w:r>
      <w:r w:rsidR="00705C91">
        <w:rPr>
          <w:rFonts w:cstheme="minorHAnsi"/>
        </w:rPr>
        <w:t>desfășurate începând cu anul</w:t>
      </w:r>
      <w:r w:rsidR="00C31D08">
        <w:rPr>
          <w:rFonts w:cstheme="minorHAnsi"/>
        </w:rPr>
        <w:t xml:space="preserve"> 2015</w:t>
      </w:r>
      <w:r w:rsidRPr="00C31D08">
        <w:rPr>
          <w:rFonts w:cstheme="minorHAnsi"/>
        </w:rPr>
        <w:t>,</w:t>
      </w:r>
      <w:r w:rsidRPr="007D0B7E">
        <w:rPr>
          <w:rFonts w:cstheme="minorHAnsi"/>
        </w:rPr>
        <w:t xml:space="preserve"> au</w:t>
      </w:r>
      <w:r>
        <w:rPr>
          <w:rFonts w:cstheme="minorHAnsi"/>
        </w:rPr>
        <w:t xml:space="preserve"> </w:t>
      </w:r>
      <w:r w:rsidRPr="00B25D34">
        <w:rPr>
          <w:rFonts w:cstheme="minorHAnsi"/>
        </w:rPr>
        <w:t xml:space="preserve">fost </w:t>
      </w:r>
      <w:r w:rsidRPr="00B25D34">
        <w:rPr>
          <w:rFonts w:cstheme="minorHAnsi"/>
          <w:b/>
        </w:rPr>
        <w:t>implementate următoarele</w:t>
      </w:r>
      <w:r w:rsidRPr="00B25D34">
        <w:rPr>
          <w:rFonts w:cstheme="minorHAnsi"/>
        </w:rPr>
        <w:t xml:space="preserve"> </w:t>
      </w:r>
      <w:r w:rsidRPr="00B25D34">
        <w:rPr>
          <w:rFonts w:cstheme="minorHAnsi"/>
          <w:b/>
        </w:rPr>
        <w:t>acţiuni</w:t>
      </w:r>
      <w:r w:rsidRPr="00B25D34">
        <w:rPr>
          <w:rFonts w:cstheme="minorHAnsi"/>
        </w:rPr>
        <w:t>:</w:t>
      </w:r>
    </w:p>
    <w:p w:rsidR="00B25D34" w:rsidRPr="00B25D34" w:rsidRDefault="00451199" w:rsidP="004C70D7">
      <w:pPr>
        <w:pStyle w:val="ListParagraph"/>
        <w:numPr>
          <w:ilvl w:val="0"/>
          <w:numId w:val="4"/>
        </w:numPr>
        <w:spacing w:after="200" w:line="276" w:lineRule="auto"/>
        <w:jc w:val="both"/>
        <w:rPr>
          <w:rFonts w:cstheme="minorHAnsi"/>
        </w:rPr>
      </w:pPr>
      <w:r>
        <w:rPr>
          <w:rFonts w:cs="Arial"/>
        </w:rPr>
        <w:t>retransmiterea</w:t>
      </w:r>
      <w:r w:rsidR="00F418B3" w:rsidRPr="00F418B3">
        <w:rPr>
          <w:rFonts w:cs="Arial"/>
        </w:rPr>
        <w:t xml:space="preserve"> </w:t>
      </w:r>
      <w:r w:rsidR="00F418B3">
        <w:rPr>
          <w:rFonts w:cs="Arial"/>
        </w:rPr>
        <w:t>către Autoritatea de Audit</w:t>
      </w:r>
      <w:r w:rsidR="00856DE2">
        <w:rPr>
          <w:rFonts w:cs="Arial"/>
        </w:rPr>
        <w:t xml:space="preserve">, în data de 20 martie 2017, a pachetului de desemnare pentru POAT 2014-2020, ca </w:t>
      </w:r>
      <w:r w:rsidR="003F1F0C" w:rsidRPr="003F1F0C">
        <w:rPr>
          <w:rFonts w:cs="Arial"/>
        </w:rPr>
        <w:t xml:space="preserve">urmare </w:t>
      </w:r>
      <w:r w:rsidR="00856DE2">
        <w:rPr>
          <w:rFonts w:cs="Arial"/>
        </w:rPr>
        <w:t xml:space="preserve">a </w:t>
      </w:r>
      <w:r w:rsidR="003F1F0C" w:rsidRPr="003F1F0C">
        <w:rPr>
          <w:rFonts w:cs="Arial"/>
        </w:rPr>
        <w:t>procesului de</w:t>
      </w:r>
      <w:r w:rsidR="003F1F0C">
        <w:rPr>
          <w:rFonts w:cs="Arial"/>
          <w:b/>
        </w:rPr>
        <w:t xml:space="preserve"> </w:t>
      </w:r>
      <w:r w:rsidR="003F1F0C" w:rsidRPr="00B25D34">
        <w:rPr>
          <w:rFonts w:cs="Arial"/>
        </w:rPr>
        <w:t xml:space="preserve">reorganizare instituțională din </w:t>
      </w:r>
      <w:r w:rsidR="00856DE2">
        <w:rPr>
          <w:rFonts w:cs="Arial"/>
        </w:rPr>
        <w:t xml:space="preserve">luna </w:t>
      </w:r>
      <w:r w:rsidR="003F1F0C" w:rsidRPr="00B25D34">
        <w:rPr>
          <w:rFonts w:cs="Arial"/>
        </w:rPr>
        <w:t>ianuarie</w:t>
      </w:r>
      <w:r w:rsidR="003F1F0C" w:rsidRPr="003F1F0C">
        <w:rPr>
          <w:rFonts w:cs="Arial"/>
        </w:rPr>
        <w:t xml:space="preserve"> 2017, </w:t>
      </w:r>
      <w:r w:rsidR="00F418B3">
        <w:rPr>
          <w:rFonts w:cs="Arial"/>
        </w:rPr>
        <w:t>astfel încât să poată fi demarată</w:t>
      </w:r>
      <w:r w:rsidR="003F1F0C" w:rsidRPr="00502E33">
        <w:rPr>
          <w:rFonts w:cs="Arial"/>
        </w:rPr>
        <w:t xml:space="preserve"> </w:t>
      </w:r>
      <w:r w:rsidR="003F1F0C" w:rsidRPr="00B25D34">
        <w:rPr>
          <w:rFonts w:cs="Arial"/>
          <w:b/>
        </w:rPr>
        <w:t>misiun</w:t>
      </w:r>
      <w:r w:rsidR="00F418B3">
        <w:rPr>
          <w:rFonts w:cs="Arial"/>
          <w:b/>
        </w:rPr>
        <w:t>ea</w:t>
      </w:r>
      <w:r w:rsidR="003F1F0C" w:rsidRPr="00B25D34">
        <w:rPr>
          <w:rFonts w:cs="Arial"/>
          <w:b/>
        </w:rPr>
        <w:t xml:space="preserve"> privind conformitatea sistemului de management și control</w:t>
      </w:r>
      <w:r w:rsidR="003F1F0C" w:rsidRPr="00502E33">
        <w:rPr>
          <w:rFonts w:cs="Arial"/>
        </w:rPr>
        <w:t xml:space="preserve"> instituit pentru POAT 2014-2020</w:t>
      </w:r>
      <w:r w:rsidR="004C70D7">
        <w:rPr>
          <w:rFonts w:cs="Arial"/>
        </w:rPr>
        <w:t>;</w:t>
      </w:r>
    </w:p>
    <w:p w:rsidR="004C70D7" w:rsidRPr="001D171D" w:rsidRDefault="00F418B3" w:rsidP="004C70D7">
      <w:pPr>
        <w:pStyle w:val="ListParagraph"/>
        <w:numPr>
          <w:ilvl w:val="0"/>
          <w:numId w:val="4"/>
        </w:numPr>
        <w:spacing w:after="200" w:line="276" w:lineRule="auto"/>
        <w:jc w:val="both"/>
        <w:rPr>
          <w:rFonts w:cstheme="minorHAnsi"/>
        </w:rPr>
      </w:pPr>
      <w:r w:rsidRPr="00F418B3">
        <w:rPr>
          <w:b/>
        </w:rPr>
        <w:lastRenderedPageBreak/>
        <w:t>transmiterea către Comisia Europeană</w:t>
      </w:r>
      <w:r>
        <w:t>, î</w:t>
      </w:r>
      <w:r w:rsidRPr="00EF3D42">
        <w:t>n data de 27</w:t>
      </w:r>
      <w:r>
        <w:t xml:space="preserve"> iulie </w:t>
      </w:r>
      <w:r w:rsidRPr="00EF3D42">
        <w:t>2017</w:t>
      </w:r>
      <w:r>
        <w:t>,</w:t>
      </w:r>
      <w:r w:rsidRPr="00EF3D42">
        <w:t xml:space="preserve"> prin </w:t>
      </w:r>
      <w:r>
        <w:t xml:space="preserve">sistemul informatic </w:t>
      </w:r>
      <w:r w:rsidRPr="00EF3D42">
        <w:t>SFC2014</w:t>
      </w:r>
      <w:r>
        <w:t>,</w:t>
      </w:r>
      <w:r w:rsidRPr="00EF3D42">
        <w:t xml:space="preserve"> </w:t>
      </w:r>
      <w:r w:rsidR="003F1F0C" w:rsidRPr="00F418B3">
        <w:rPr>
          <w:b/>
        </w:rPr>
        <w:t>a ordinul</w:t>
      </w:r>
      <w:r w:rsidRPr="00F418B3">
        <w:rPr>
          <w:b/>
        </w:rPr>
        <w:t>ui</w:t>
      </w:r>
      <w:r w:rsidR="003F1F0C" w:rsidRPr="00F418B3">
        <w:rPr>
          <w:b/>
        </w:rPr>
        <w:t xml:space="preserve"> privind</w:t>
      </w:r>
      <w:r w:rsidR="003F1F0C" w:rsidRPr="00EF3D42">
        <w:t xml:space="preserve"> </w:t>
      </w:r>
      <w:r w:rsidR="003F1F0C" w:rsidRPr="00F418B3">
        <w:rPr>
          <w:b/>
        </w:rPr>
        <w:t>desemnarea</w:t>
      </w:r>
      <w:r w:rsidR="003F1F0C" w:rsidRPr="00EF3D42">
        <w:t xml:space="preserve"> M</w:t>
      </w:r>
      <w:r w:rsidR="003F1F0C">
        <w:t xml:space="preserve">inisterului </w:t>
      </w:r>
      <w:r w:rsidR="003F1F0C" w:rsidRPr="00EF3D42">
        <w:t>D</w:t>
      </w:r>
      <w:r w:rsidR="003F1F0C">
        <w:t xml:space="preserve">ezvoltării </w:t>
      </w:r>
      <w:r w:rsidR="003F1F0C" w:rsidRPr="00EF3D42">
        <w:t>R</w:t>
      </w:r>
      <w:r w:rsidR="003F1F0C">
        <w:t xml:space="preserve">egionale, </w:t>
      </w:r>
      <w:r w:rsidR="003F1F0C" w:rsidRPr="00EF3D42">
        <w:t>A</w:t>
      </w:r>
      <w:r w:rsidR="003F1F0C">
        <w:t xml:space="preserve">dministrației </w:t>
      </w:r>
      <w:r w:rsidR="003F1F0C" w:rsidRPr="00EF3D42">
        <w:t>P</w:t>
      </w:r>
      <w:r w:rsidR="003F1F0C">
        <w:t xml:space="preserve">ublice și </w:t>
      </w:r>
      <w:r w:rsidR="003F1F0C" w:rsidRPr="00EF3D42">
        <w:t>F</w:t>
      </w:r>
      <w:r w:rsidR="003F1F0C">
        <w:t xml:space="preserve">ondurilor </w:t>
      </w:r>
      <w:r w:rsidR="003F1F0C" w:rsidRPr="00EF3D42">
        <w:t>E</w:t>
      </w:r>
      <w:r w:rsidR="003F1F0C">
        <w:t>uropene</w:t>
      </w:r>
      <w:r w:rsidR="003F1F0C" w:rsidRPr="00EF3D42">
        <w:t xml:space="preserve"> ca Autoritate de Management și M</w:t>
      </w:r>
      <w:r w:rsidR="003F1F0C">
        <w:t xml:space="preserve">inisterul </w:t>
      </w:r>
      <w:r w:rsidR="003F1F0C" w:rsidRPr="00EF3D42">
        <w:t>F</w:t>
      </w:r>
      <w:r w:rsidR="003F1F0C">
        <w:t xml:space="preserve">inanțelor </w:t>
      </w:r>
      <w:r w:rsidR="003F1F0C" w:rsidRPr="00EF3D42">
        <w:t>P</w:t>
      </w:r>
      <w:r w:rsidR="003F1F0C">
        <w:t>ublice</w:t>
      </w:r>
      <w:r w:rsidR="003F1F0C" w:rsidRPr="00EF3D42">
        <w:t xml:space="preserve"> ca Autoritate de Certificare pentru POAT</w:t>
      </w:r>
      <w:r w:rsidR="003F1F0C">
        <w:t>;</w:t>
      </w:r>
    </w:p>
    <w:p w:rsidR="004C70D7" w:rsidRDefault="00B25D34" w:rsidP="004C70D7">
      <w:pPr>
        <w:pStyle w:val="ListParagraph"/>
        <w:numPr>
          <w:ilvl w:val="0"/>
          <w:numId w:val="4"/>
        </w:numPr>
        <w:spacing w:after="200" w:line="276" w:lineRule="auto"/>
        <w:jc w:val="both"/>
        <w:rPr>
          <w:rFonts w:cs="Arial"/>
        </w:rPr>
      </w:pPr>
      <w:r w:rsidRPr="00F418B3">
        <w:rPr>
          <w:rFonts w:cstheme="minorHAnsi"/>
          <w:b/>
        </w:rPr>
        <w:t>r</w:t>
      </w:r>
      <w:r w:rsidRPr="00F418B3">
        <w:rPr>
          <w:rFonts w:cs="Arial"/>
          <w:b/>
        </w:rPr>
        <w:t>evizuirea</w:t>
      </w:r>
      <w:r w:rsidRPr="00F418B3">
        <w:rPr>
          <w:rFonts w:cstheme="minorHAnsi"/>
          <w:b/>
        </w:rPr>
        <w:t xml:space="preserve"> </w:t>
      </w:r>
      <w:r w:rsidR="004C70D7" w:rsidRPr="00F418B3">
        <w:rPr>
          <w:rFonts w:cstheme="minorHAnsi"/>
          <w:b/>
        </w:rPr>
        <w:t>Ghidului</w:t>
      </w:r>
      <w:r w:rsidR="004C70D7" w:rsidRPr="001D171D">
        <w:rPr>
          <w:rFonts w:cstheme="minorHAnsi"/>
          <w:b/>
        </w:rPr>
        <w:t xml:space="preserve"> Solicitantului</w:t>
      </w:r>
      <w:r w:rsidR="004C70D7" w:rsidRPr="001D171D">
        <w:rPr>
          <w:rFonts w:cstheme="minorHAnsi"/>
        </w:rPr>
        <w:t xml:space="preserve"> </w:t>
      </w:r>
      <w:r w:rsidRPr="00B25D34">
        <w:rPr>
          <w:rFonts w:cstheme="minorHAnsi"/>
          <w:b/>
        </w:rPr>
        <w:t>POAT 2014-2020</w:t>
      </w:r>
      <w:r>
        <w:rPr>
          <w:rFonts w:cstheme="minorHAnsi"/>
        </w:rPr>
        <w:t xml:space="preserve"> – </w:t>
      </w:r>
      <w:r w:rsidRPr="00B25D34">
        <w:rPr>
          <w:rFonts w:cstheme="minorHAnsi"/>
          <w:b/>
          <w:i/>
        </w:rPr>
        <w:t>Condiții specifice</w:t>
      </w:r>
      <w:r>
        <w:rPr>
          <w:rFonts w:cstheme="minorHAnsi"/>
        </w:rPr>
        <w:t xml:space="preserve"> </w:t>
      </w:r>
      <w:r w:rsidR="00F418B3">
        <w:rPr>
          <w:rFonts w:cs="Arial"/>
        </w:rPr>
        <w:t>în vederea</w:t>
      </w:r>
      <w:r w:rsidRPr="00522447">
        <w:rPr>
          <w:rFonts w:cs="Arial"/>
        </w:rPr>
        <w:t xml:space="preserve"> integr</w:t>
      </w:r>
      <w:r w:rsidR="00F418B3">
        <w:rPr>
          <w:rFonts w:cs="Arial"/>
        </w:rPr>
        <w:t>ării</w:t>
      </w:r>
      <w:r w:rsidRPr="00522447">
        <w:rPr>
          <w:rFonts w:cs="Arial"/>
        </w:rPr>
        <w:t xml:space="preserve"> modificărilor instituționale și legislative, precum şi pentru facilitarea procesului de pregătire şi dep</w:t>
      </w:r>
      <w:r>
        <w:rPr>
          <w:rFonts w:cs="Arial"/>
        </w:rPr>
        <w:t xml:space="preserve">unere a cererilor de finanţare </w:t>
      </w:r>
      <w:r w:rsidRPr="00522447">
        <w:rPr>
          <w:rFonts w:cs="Arial"/>
        </w:rPr>
        <w:t xml:space="preserve">prin intermediul aplicației </w:t>
      </w:r>
      <w:r>
        <w:rPr>
          <w:rFonts w:cs="Arial"/>
        </w:rPr>
        <w:t xml:space="preserve">informatice </w:t>
      </w:r>
      <w:r w:rsidRPr="00522447">
        <w:rPr>
          <w:rFonts w:cs="Arial"/>
        </w:rPr>
        <w:t>MySMIS2014</w:t>
      </w:r>
      <w:r w:rsidR="004C70D7">
        <w:rPr>
          <w:rFonts w:cs="Arial"/>
        </w:rPr>
        <w:t>;</w:t>
      </w:r>
      <w:r w:rsidR="000A3D46">
        <w:rPr>
          <w:rFonts w:cs="Arial"/>
        </w:rPr>
        <w:t xml:space="preserve"> u</w:t>
      </w:r>
      <w:r w:rsidR="000A3D46" w:rsidRPr="00522447">
        <w:rPr>
          <w:rFonts w:cs="Arial"/>
        </w:rPr>
        <w:t>rmare aprobării noului Ghid prin Ordinul ministrului delegat pentru fonduri europene nr. 6789/14.11.2017, în data de 14</w:t>
      </w:r>
      <w:r w:rsidR="00F418B3">
        <w:rPr>
          <w:rFonts w:cs="Arial"/>
        </w:rPr>
        <w:t xml:space="preserve"> noiembrie </w:t>
      </w:r>
      <w:r w:rsidR="000A3D46" w:rsidRPr="00522447">
        <w:rPr>
          <w:rFonts w:cs="Arial"/>
        </w:rPr>
        <w:t xml:space="preserve">2017 </w:t>
      </w:r>
      <w:r w:rsidR="00F418B3">
        <w:rPr>
          <w:rFonts w:cs="Arial"/>
        </w:rPr>
        <w:t>au fost</w:t>
      </w:r>
      <w:r w:rsidR="000A3D46" w:rsidRPr="00522447">
        <w:rPr>
          <w:rFonts w:cs="Arial"/>
        </w:rPr>
        <w:t xml:space="preserve"> deschis</w:t>
      </w:r>
      <w:r w:rsidR="00F418B3">
        <w:rPr>
          <w:rFonts w:cs="Arial"/>
        </w:rPr>
        <w:t>e</w:t>
      </w:r>
      <w:r w:rsidR="000A3D46" w:rsidRPr="00522447">
        <w:rPr>
          <w:rFonts w:cs="Arial"/>
        </w:rPr>
        <w:t xml:space="preserve"> apelurile de proiecte în MySMIS2014 pentru proiecte</w:t>
      </w:r>
      <w:r w:rsidR="000A3D46">
        <w:rPr>
          <w:rFonts w:cs="Arial"/>
        </w:rPr>
        <w:t>le</w:t>
      </w:r>
      <w:r w:rsidR="000A3D46" w:rsidRPr="00522447">
        <w:rPr>
          <w:rFonts w:cs="Arial"/>
        </w:rPr>
        <w:t xml:space="preserve"> care mai trebuie depuse conform Planului </w:t>
      </w:r>
      <w:r w:rsidR="00F418B3">
        <w:rPr>
          <w:rFonts w:cs="Arial"/>
        </w:rPr>
        <w:t xml:space="preserve">de proiecte aferent anului </w:t>
      </w:r>
      <w:r w:rsidR="000A3D46" w:rsidRPr="00522447">
        <w:rPr>
          <w:rFonts w:cs="Arial"/>
        </w:rPr>
        <w:t>2017</w:t>
      </w:r>
      <w:r w:rsidR="000A3D46">
        <w:rPr>
          <w:rFonts w:cs="Arial"/>
        </w:rPr>
        <w:t>;</w:t>
      </w:r>
    </w:p>
    <w:p w:rsidR="004C70D7" w:rsidRDefault="00F418B3" w:rsidP="004C70D7">
      <w:pPr>
        <w:pStyle w:val="ListParagraph"/>
        <w:numPr>
          <w:ilvl w:val="0"/>
          <w:numId w:val="4"/>
        </w:numPr>
        <w:spacing w:line="276" w:lineRule="auto"/>
        <w:jc w:val="both"/>
      </w:pPr>
      <w:r>
        <w:t>c</w:t>
      </w:r>
      <w:r w:rsidR="004C70D7" w:rsidRPr="000D5ED9">
        <w:t>onsultarea membrilor C</w:t>
      </w:r>
      <w:r w:rsidR="004C70D7">
        <w:t xml:space="preserve">omitetului de </w:t>
      </w:r>
      <w:r w:rsidR="004C70D7" w:rsidRPr="000D5ED9">
        <w:t>M</w:t>
      </w:r>
      <w:r w:rsidR="004C70D7">
        <w:t>onitorizare</w:t>
      </w:r>
      <w:r w:rsidR="004C70D7" w:rsidRPr="000D5ED9">
        <w:t xml:space="preserve"> </w:t>
      </w:r>
      <w:r>
        <w:t xml:space="preserve">pentru POAT </w:t>
      </w:r>
      <w:r w:rsidR="004C70D7" w:rsidRPr="000D5ED9">
        <w:t xml:space="preserve">în vederea </w:t>
      </w:r>
      <w:r w:rsidR="004C70D7" w:rsidRPr="00502E33">
        <w:rPr>
          <w:b/>
        </w:rPr>
        <w:t>revizuirii Planului anual de proiecte 2015-2016</w:t>
      </w:r>
      <w:r>
        <w:rPr>
          <w:b/>
        </w:rPr>
        <w:t>,</w:t>
      </w:r>
      <w:r w:rsidR="004C70D7">
        <w:t xml:space="preserve"> precum și pentru </w:t>
      </w:r>
      <w:r w:rsidR="004C70D7" w:rsidRPr="00502E33">
        <w:rPr>
          <w:b/>
        </w:rPr>
        <w:t>aprobarea Planului de proiecte aferent anului 2017</w:t>
      </w:r>
      <w:r w:rsidR="004C70D7">
        <w:t>;</w:t>
      </w:r>
    </w:p>
    <w:p w:rsidR="000A3D46" w:rsidRDefault="00F418B3" w:rsidP="000A3D46">
      <w:pPr>
        <w:pStyle w:val="ListParagraph"/>
        <w:numPr>
          <w:ilvl w:val="0"/>
          <w:numId w:val="4"/>
        </w:numPr>
        <w:spacing w:line="276" w:lineRule="auto"/>
        <w:jc w:val="both"/>
      </w:pPr>
      <w:r w:rsidRPr="00F418B3">
        <w:rPr>
          <w:b/>
        </w:rPr>
        <w:t>actualizarea</w:t>
      </w:r>
      <w:r>
        <w:t xml:space="preserve"> </w:t>
      </w:r>
      <w:r w:rsidR="000A3D46">
        <w:t>instrumentul</w:t>
      </w:r>
      <w:r>
        <w:t>ui</w:t>
      </w:r>
      <w:r w:rsidR="000A3D46">
        <w:t xml:space="preserve"> de planificare al proiectelor - </w:t>
      </w:r>
      <w:r w:rsidR="000A3D46" w:rsidRPr="00AF35DB">
        <w:rPr>
          <w:b/>
        </w:rPr>
        <w:t>Planul aferent anului 2017</w:t>
      </w:r>
      <w:r>
        <w:t xml:space="preserve"> (</w:t>
      </w:r>
      <w:r w:rsidR="000A3D46">
        <w:t>aprobat de membrii Comitetului de Monitorizare POAT în luna decembrie 2016</w:t>
      </w:r>
      <w:r>
        <w:t>)</w:t>
      </w:r>
      <w:r w:rsidR="000A3D46">
        <w:t xml:space="preserve">, </w:t>
      </w:r>
      <w:r>
        <w:t>necesară</w:t>
      </w:r>
      <w:r w:rsidR="000A3D46">
        <w:t xml:space="preserve"> </w:t>
      </w:r>
      <w:r>
        <w:t xml:space="preserve">atât </w:t>
      </w:r>
      <w:r w:rsidR="000A3D46">
        <w:t>datorită propunerilor de proiecte urgente</w:t>
      </w:r>
      <w:r>
        <w:t>,</w:t>
      </w:r>
      <w:r w:rsidR="000A3D46">
        <w:t xml:space="preserve"> nou identificate</w:t>
      </w:r>
      <w:r>
        <w:t>,</w:t>
      </w:r>
      <w:r w:rsidR="000A3D46">
        <w:t xml:space="preserve"> </w:t>
      </w:r>
      <w:r>
        <w:t>cât și</w:t>
      </w:r>
      <w:r w:rsidR="000A3D46">
        <w:t xml:space="preserve"> ca urmare a nevoii de modificare a unor fișe de proiect deja aprobate; m</w:t>
      </w:r>
      <w:r w:rsidR="000A3D46" w:rsidRPr="000A3D46">
        <w:t xml:space="preserve">ai mult, în cadrul reuniunii </w:t>
      </w:r>
      <w:r>
        <w:t>C</w:t>
      </w:r>
      <w:r w:rsidR="000A3D46">
        <w:t>omitetului</w:t>
      </w:r>
      <w:r w:rsidR="000A3D46" w:rsidRPr="000A3D46">
        <w:t xml:space="preserve"> </w:t>
      </w:r>
      <w:r>
        <w:t xml:space="preserve">de Monitorizare POAT </w:t>
      </w:r>
      <w:r w:rsidR="000A3D46" w:rsidRPr="000A3D46">
        <w:t xml:space="preserve">din luna decembrie 2017, a fost </w:t>
      </w:r>
      <w:r w:rsidR="000A3D46" w:rsidRPr="00F418B3">
        <w:rPr>
          <w:b/>
        </w:rPr>
        <w:t>supus consultării</w:t>
      </w:r>
      <w:r w:rsidR="000A3D46" w:rsidRPr="000A3D46">
        <w:t xml:space="preserve"> membrilor și </w:t>
      </w:r>
      <w:r w:rsidR="000A3D46" w:rsidRPr="000A3D46">
        <w:rPr>
          <w:b/>
        </w:rPr>
        <w:t>Planul de proiecte aferent anului 2018</w:t>
      </w:r>
      <w:r w:rsidR="000A3D46">
        <w:t>;</w:t>
      </w:r>
    </w:p>
    <w:p w:rsidR="006B5EAF" w:rsidRPr="006B5EAF" w:rsidRDefault="000A3D46" w:rsidP="009735F7">
      <w:pPr>
        <w:pStyle w:val="ListParagraph"/>
        <w:numPr>
          <w:ilvl w:val="0"/>
          <w:numId w:val="4"/>
        </w:numPr>
        <w:spacing w:after="200" w:line="276" w:lineRule="auto"/>
        <w:jc w:val="both"/>
        <w:rPr>
          <w:rFonts w:cstheme="minorHAnsi"/>
        </w:rPr>
      </w:pPr>
      <w:r w:rsidRPr="006B5EAF">
        <w:rPr>
          <w:b/>
        </w:rPr>
        <w:t>m</w:t>
      </w:r>
      <w:r w:rsidR="004C70D7" w:rsidRPr="006B5EAF">
        <w:rPr>
          <w:b/>
        </w:rPr>
        <w:t>odificarea POAT</w:t>
      </w:r>
      <w:r w:rsidR="004C70D7">
        <w:t xml:space="preserve">, necesară </w:t>
      </w:r>
      <w:r w:rsidR="006B5EAF" w:rsidRPr="00D51A39">
        <w:t xml:space="preserve">în vederea asigurării, în continuare, a resurselor financiare </w:t>
      </w:r>
      <w:r w:rsidR="00F418B3">
        <w:t>pentru remunerarea</w:t>
      </w:r>
      <w:r w:rsidR="006B5EAF" w:rsidRPr="00D51A39">
        <w:t xml:space="preserve"> personalului FESI</w:t>
      </w:r>
      <w:r w:rsidR="006B5EAF">
        <w:t xml:space="preserve">; astfel, </w:t>
      </w:r>
      <w:r w:rsidR="006B5EAF" w:rsidRPr="00D51A39">
        <w:t>la sfârșitul lunii noiembrie 2017</w:t>
      </w:r>
      <w:r w:rsidR="00F418B3">
        <w:t>,</w:t>
      </w:r>
      <w:r w:rsidR="006B5EAF">
        <w:t xml:space="preserve"> AM POAT a transmis</w:t>
      </w:r>
      <w:r w:rsidR="00F418B3">
        <w:t>,</w:t>
      </w:r>
      <w:r w:rsidR="006B5EAF">
        <w:t xml:space="preserve"> </w:t>
      </w:r>
      <w:r w:rsidR="00F418B3" w:rsidRPr="00D51A39">
        <w:t>spre analiză</w:t>
      </w:r>
      <w:r w:rsidR="00F418B3">
        <w:t>,</w:t>
      </w:r>
      <w:r w:rsidR="00F418B3" w:rsidRPr="00D51A39">
        <w:t xml:space="preserve"> </w:t>
      </w:r>
      <w:r w:rsidR="006B5EAF">
        <w:t>serviciilor</w:t>
      </w:r>
      <w:r w:rsidR="006B5EAF" w:rsidRPr="00D51A39">
        <w:t xml:space="preserve"> Comisiei Europene propunerea </w:t>
      </w:r>
      <w:r w:rsidR="006B5EAF" w:rsidRPr="006B5EAF">
        <w:t>de modificare</w:t>
      </w:r>
      <w:r w:rsidR="00F418B3">
        <w:t xml:space="preserve"> a programului</w:t>
      </w:r>
      <w:r w:rsidR="006B5EAF" w:rsidRPr="00D51A39">
        <w:t xml:space="preserve">, </w:t>
      </w:r>
      <w:r w:rsidR="006B5EAF">
        <w:t>ulterior supunerii acesteia</w:t>
      </w:r>
      <w:r w:rsidR="00F418B3">
        <w:t>,</w:t>
      </w:r>
      <w:r w:rsidR="006B5EAF" w:rsidRPr="00D51A39">
        <w:t xml:space="preserve"> </w:t>
      </w:r>
      <w:r w:rsidR="00F418B3">
        <w:t xml:space="preserve">spre </w:t>
      </w:r>
      <w:r w:rsidR="006B5EAF" w:rsidRPr="00D51A39">
        <w:t>aprob</w:t>
      </w:r>
      <w:r w:rsidR="00F418B3">
        <w:t>are,</w:t>
      </w:r>
      <w:r w:rsidR="006B5EAF" w:rsidRPr="00D51A39">
        <w:t xml:space="preserve"> membri</w:t>
      </w:r>
      <w:r w:rsidR="006B5EAF">
        <w:t>lor</w:t>
      </w:r>
      <w:r w:rsidR="006B5EAF" w:rsidRPr="00D51A39">
        <w:t xml:space="preserve"> CM</w:t>
      </w:r>
      <w:r w:rsidR="006B5EAF">
        <w:t xml:space="preserve"> prin procedură de consultare scrisă</w:t>
      </w:r>
      <w:r w:rsidR="006B5EAF" w:rsidRPr="00D51A39">
        <w:t>.</w:t>
      </w:r>
    </w:p>
    <w:p w:rsidR="00F418B3" w:rsidRDefault="009735F7" w:rsidP="00F418B3">
      <w:pPr>
        <w:jc w:val="both"/>
        <w:rPr>
          <w:rFonts w:cstheme="minorHAnsi"/>
          <w:bCs/>
        </w:rPr>
      </w:pPr>
      <w:r w:rsidRPr="006B5EAF">
        <w:rPr>
          <w:rFonts w:cstheme="minorHAnsi"/>
          <w:bCs/>
        </w:rPr>
        <w:t>În ceea ce privește evaluările și activitățile de evaluare planificate conform Planului de Evaluare a POAT 2014-2020, pentru aplicarea</w:t>
      </w:r>
      <w:r w:rsidRPr="006B5EAF">
        <w:rPr>
          <w:rFonts w:cstheme="minorHAnsi"/>
        </w:rPr>
        <w:t xml:space="preserve"> dispozițiilor art. 56 din Regulamentul UE nr. 1303/2013, pe parcursul anului 2017 au fost înregistrate decalaje cu privire la punctele de reper stabilite și calendarul evaluărilor față de ceea ce este prevăzut în Plan. În acest context</w:t>
      </w:r>
      <w:r w:rsidRPr="006B5EAF">
        <w:rPr>
          <w:rFonts w:cstheme="minorHAnsi"/>
          <w:bCs/>
        </w:rPr>
        <w:t xml:space="preserve">, primul </w:t>
      </w:r>
      <w:r w:rsidRPr="006B5EAF">
        <w:rPr>
          <w:rFonts w:cstheme="minorHAnsi"/>
        </w:rPr>
        <w:t xml:space="preserve">raport de evaluare estimat a fi elaborat în anul 2017 nu a putut fi livrat </w:t>
      </w:r>
      <w:r w:rsidRPr="006B5EAF">
        <w:rPr>
          <w:rFonts w:cstheme="minorHAnsi"/>
          <w:bCs/>
        </w:rPr>
        <w:t xml:space="preserve">din cauza unui blocaj înregistrat în etapa de evaluare a ofertelor </w:t>
      </w:r>
      <w:r w:rsidR="00F418B3">
        <w:rPr>
          <w:rFonts w:cstheme="minorHAnsi"/>
          <w:bCs/>
        </w:rPr>
        <w:t>cauzate, în principal, de:</w:t>
      </w:r>
    </w:p>
    <w:p w:rsidR="00F418B3" w:rsidRDefault="00F418B3" w:rsidP="00F418B3">
      <w:pPr>
        <w:jc w:val="both"/>
        <w:rPr>
          <w:rFonts w:cstheme="minorHAnsi"/>
          <w:bCs/>
        </w:rPr>
      </w:pPr>
      <w:r>
        <w:rPr>
          <w:rFonts w:cstheme="minorHAnsi"/>
          <w:bCs/>
        </w:rPr>
        <w:t>- interpretarea diferită a modului de aplicare a prevederilor legale în materia achizițiilor publice privind evaluarea experienței experților implicați în proiect;</w:t>
      </w:r>
    </w:p>
    <w:p w:rsidR="00F418B3" w:rsidRPr="009F0716" w:rsidRDefault="00F418B3" w:rsidP="00F418B3">
      <w:pPr>
        <w:jc w:val="both"/>
        <w:rPr>
          <w:rFonts w:cstheme="minorHAnsi"/>
          <w:bCs/>
        </w:rPr>
      </w:pPr>
      <w:r>
        <w:rPr>
          <w:rFonts w:cstheme="minorHAnsi"/>
          <w:bCs/>
        </w:rPr>
        <w:t>- reorganizări succesive ale ministerului.</w:t>
      </w:r>
    </w:p>
    <w:p w:rsidR="00CD356C" w:rsidRPr="009735F7" w:rsidRDefault="00AE334C" w:rsidP="009735F7">
      <w:pPr>
        <w:jc w:val="both"/>
        <w:rPr>
          <w:rFonts w:cstheme="minorHAnsi"/>
          <w:bCs/>
        </w:rPr>
      </w:pPr>
      <w:r>
        <w:rPr>
          <w:rFonts w:cstheme="minorHAnsi"/>
          <w:bCs/>
        </w:rPr>
        <w:t>Cu privire la problemele care au afectat performanța programului și măsurile adoptate la nivelul AM POAT, pe parcursul anului 2017, c</w:t>
      </w:r>
      <w:r w:rsidR="00705C91" w:rsidRPr="009735F7">
        <w:rPr>
          <w:rFonts w:cstheme="minorHAnsi"/>
          <w:bCs/>
        </w:rPr>
        <w:t xml:space="preserve">ele mai semnificative </w:t>
      </w:r>
      <w:r w:rsidR="001A6EB4" w:rsidRPr="009735F7">
        <w:rPr>
          <w:rFonts w:cstheme="minorHAnsi"/>
          <w:bCs/>
        </w:rPr>
        <w:t>au fost</w:t>
      </w:r>
      <w:r w:rsidR="009735F7">
        <w:rPr>
          <w:rFonts w:cstheme="minorHAnsi"/>
          <w:bCs/>
        </w:rPr>
        <w:t xml:space="preserve"> ridicate de </w:t>
      </w:r>
      <w:r w:rsidR="009735F7">
        <w:rPr>
          <w:rFonts w:cstheme="minorHAnsi"/>
        </w:rPr>
        <w:t>schimbările</w:t>
      </w:r>
      <w:r w:rsidR="009735F7" w:rsidRPr="00433225">
        <w:rPr>
          <w:rFonts w:cstheme="minorHAnsi"/>
        </w:rPr>
        <w:t xml:space="preserve"> intervenite la nivelul conducerii </w:t>
      </w:r>
      <w:r w:rsidR="009735F7">
        <w:rPr>
          <w:rFonts w:cstheme="minorHAnsi"/>
        </w:rPr>
        <w:t xml:space="preserve">unora dintre </w:t>
      </w:r>
      <w:r w:rsidR="009735F7" w:rsidRPr="00433225">
        <w:rPr>
          <w:rFonts w:cstheme="minorHAnsi"/>
        </w:rPr>
        <w:t>instituții</w:t>
      </w:r>
      <w:r w:rsidR="009735F7">
        <w:rPr>
          <w:rFonts w:cstheme="minorHAnsi"/>
        </w:rPr>
        <w:t>le</w:t>
      </w:r>
      <w:r w:rsidR="009735F7" w:rsidRPr="00433225">
        <w:rPr>
          <w:rFonts w:cstheme="minorHAnsi"/>
        </w:rPr>
        <w:t xml:space="preserve"> beneficiare din POA</w:t>
      </w:r>
      <w:r w:rsidR="009735F7">
        <w:rPr>
          <w:rFonts w:cstheme="minorHAnsi"/>
        </w:rPr>
        <w:t xml:space="preserve">T, </w:t>
      </w:r>
      <w:r w:rsidR="009735F7" w:rsidRPr="00433225">
        <w:rPr>
          <w:rFonts w:cstheme="minorHAnsi"/>
        </w:rPr>
        <w:t>supraîncărc</w:t>
      </w:r>
      <w:r w:rsidR="009735F7">
        <w:rPr>
          <w:rFonts w:cstheme="minorHAnsi"/>
        </w:rPr>
        <w:t xml:space="preserve">area cu sarcini a personalului, precum și de procesul de derulare a procedurilor de achiziție publică. Toate aceste aspecte au condus la nerespectarea calendarului </w:t>
      </w:r>
      <w:r w:rsidR="002503F6">
        <w:rPr>
          <w:rFonts w:cstheme="minorHAnsi"/>
        </w:rPr>
        <w:t>de activități, precum și a graficului</w:t>
      </w:r>
      <w:r w:rsidR="009735F7">
        <w:rPr>
          <w:rFonts w:cstheme="minorHAnsi"/>
        </w:rPr>
        <w:t xml:space="preserve"> cererilor de rambursare</w:t>
      </w:r>
      <w:r w:rsidR="002503F6">
        <w:rPr>
          <w:rFonts w:cstheme="minorHAnsi"/>
        </w:rPr>
        <w:t xml:space="preserve"> a cheltuielilor, influențând, implicit, transmiterea aplicațiilor de plată și rambursarea cheltuielilor de către Comisia Europeană.</w:t>
      </w:r>
    </w:p>
    <w:p w:rsidR="00886FF2" w:rsidRPr="00AE334C" w:rsidRDefault="00F177FB" w:rsidP="00AE334C">
      <w:pPr>
        <w:jc w:val="both"/>
        <w:rPr>
          <w:rFonts w:cstheme="minorHAnsi"/>
          <w:bCs/>
        </w:rPr>
      </w:pPr>
      <w:r>
        <w:rPr>
          <w:rFonts w:eastAsia="MS Gothic" w:cstheme="minorHAnsi"/>
          <w:bCs/>
          <w:kern w:val="28"/>
        </w:rPr>
        <w:t xml:space="preserve">Astfel, </w:t>
      </w:r>
      <w:r w:rsidR="002503F6" w:rsidRPr="00FA5B88">
        <w:rPr>
          <w:lang w:val="it-IT"/>
        </w:rPr>
        <w:t xml:space="preserve">în vederea </w:t>
      </w:r>
      <w:r w:rsidR="002503F6" w:rsidRPr="00FA5B88">
        <w:t>accelerării implementării</w:t>
      </w:r>
      <w:r w:rsidR="002503F6">
        <w:t>,</w:t>
      </w:r>
      <w:r w:rsidR="002503F6">
        <w:rPr>
          <w:rFonts w:eastAsia="MS Gothic" w:cstheme="minorHAnsi"/>
          <w:bCs/>
          <w:kern w:val="28"/>
        </w:rPr>
        <w:t xml:space="preserve"> AM POAT a inițiat organizarea unor seminarii cu toți beneficiarii POAT, în cadrul celor trei reuniuni desfășurate pe parcursul anului 2017</w:t>
      </w:r>
      <w:r w:rsidR="00827AC9">
        <w:rPr>
          <w:rFonts w:eastAsia="MS Gothic" w:cstheme="minorHAnsi"/>
          <w:bCs/>
          <w:kern w:val="28"/>
        </w:rPr>
        <w:t xml:space="preserve">, la care au participat </w:t>
      </w:r>
      <w:r w:rsidR="002503F6">
        <w:t>peste 250 de persoane</w:t>
      </w:r>
      <w:r w:rsidR="00827AC9">
        <w:t>,</w:t>
      </w:r>
      <w:r w:rsidR="002503F6">
        <w:t xml:space="preserve"> au fost dezbătute/clarificate aspecte care vizează întreg ciclul de viață al unui </w:t>
      </w:r>
      <w:r w:rsidR="002503F6">
        <w:lastRenderedPageBreak/>
        <w:t xml:space="preserve">proiect, începând de la etapa de evaluare și contractare a cererilor de finanțare și continuând cu elaborarea cererilor de rambursare și rapoartelor de progres, verificarea procedurilor de achiziție publică, amendarea contractelor/deciziilor de finanțare prin acte adiționale și/sau notificări, inclusiv </w:t>
      </w:r>
      <w:r w:rsidR="002503F6" w:rsidRPr="00AE334C">
        <w:rPr>
          <w:rFonts w:cstheme="minorHAnsi"/>
          <w:bCs/>
        </w:rPr>
        <w:t>clarificarea elementelor obligatorii de informare şi publicitate și planificarea asistenței tehnice pentru anul 2018.</w:t>
      </w:r>
    </w:p>
    <w:p w:rsidR="00AE334C" w:rsidRPr="00AE334C" w:rsidRDefault="00AE334C" w:rsidP="00AE334C">
      <w:pPr>
        <w:jc w:val="both"/>
        <w:rPr>
          <w:rFonts w:cstheme="minorHAnsi"/>
          <w:bCs/>
        </w:rPr>
      </w:pPr>
      <w:r w:rsidRPr="00AE334C">
        <w:rPr>
          <w:rFonts w:cstheme="minorHAnsi"/>
          <w:bCs/>
        </w:rPr>
        <w:t>Organizarea acestor seminarii va continua și pe parcursul anului 2018, principalele puncte de pe ordinea de zi a următoarelor sesiuni/reuniuni de lucru urmând să fie problemele întâmpinate de beneficiari pe parcursul derulării procedurilor de achiziție publică, pe de-o parte, și măsuri</w:t>
      </w:r>
      <w:r>
        <w:rPr>
          <w:rFonts w:cstheme="minorHAnsi"/>
          <w:bCs/>
        </w:rPr>
        <w:t>le</w:t>
      </w:r>
      <w:r w:rsidRPr="00AE334C">
        <w:rPr>
          <w:rFonts w:cstheme="minorHAnsi"/>
          <w:bCs/>
        </w:rPr>
        <w:t xml:space="preserve"> de simplificare</w:t>
      </w:r>
      <w:r>
        <w:rPr>
          <w:rFonts w:cstheme="minorHAnsi"/>
          <w:bCs/>
        </w:rPr>
        <w:t xml:space="preserve"> identificate în cadrul acestor seminarii</w:t>
      </w:r>
      <w:r w:rsidRPr="00AE334C">
        <w:rPr>
          <w:rFonts w:cstheme="minorHAnsi"/>
          <w:bCs/>
        </w:rPr>
        <w:t>, pe de altă parte.</w:t>
      </w:r>
    </w:p>
    <w:sectPr w:rsidR="00AE334C" w:rsidRPr="00AE334C" w:rsidSect="00D75B0A">
      <w:footerReference w:type="default" r:id="rId7"/>
      <w:pgSz w:w="12240" w:h="15840"/>
      <w:pgMar w:top="-386" w:right="1440" w:bottom="1440" w:left="1440" w:header="44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0AD0" w:rsidRDefault="00AB0AD0" w:rsidP="002F7291">
      <w:pPr>
        <w:spacing w:after="0" w:line="240" w:lineRule="auto"/>
      </w:pPr>
      <w:r>
        <w:separator/>
      </w:r>
    </w:p>
  </w:endnote>
  <w:endnote w:type="continuationSeparator" w:id="0">
    <w:p w:rsidR="00AB0AD0" w:rsidRDefault="00AB0AD0" w:rsidP="002F72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0738515"/>
      <w:docPartObj>
        <w:docPartGallery w:val="Page Numbers (Bottom of Page)"/>
        <w:docPartUnique/>
      </w:docPartObj>
    </w:sdtPr>
    <w:sdtEndPr>
      <w:rPr>
        <w:noProof/>
      </w:rPr>
    </w:sdtEndPr>
    <w:sdtContent>
      <w:p w:rsidR="002F7291" w:rsidRDefault="002F7291">
        <w:pPr>
          <w:pStyle w:val="Footer"/>
          <w:jc w:val="right"/>
        </w:pPr>
        <w:r>
          <w:fldChar w:fldCharType="begin"/>
        </w:r>
        <w:r>
          <w:instrText xml:space="preserve"> PAGE   \* MERGEFORMAT </w:instrText>
        </w:r>
        <w:r>
          <w:fldChar w:fldCharType="separate"/>
        </w:r>
        <w:r w:rsidR="005325E6">
          <w:rPr>
            <w:noProof/>
          </w:rPr>
          <w:t>1</w:t>
        </w:r>
        <w:r>
          <w:rPr>
            <w:noProof/>
          </w:rPr>
          <w:fldChar w:fldCharType="end"/>
        </w:r>
      </w:p>
    </w:sdtContent>
  </w:sdt>
  <w:p w:rsidR="002F7291" w:rsidRDefault="002F72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0AD0" w:rsidRDefault="00AB0AD0" w:rsidP="002F7291">
      <w:pPr>
        <w:spacing w:after="0" w:line="240" w:lineRule="auto"/>
      </w:pPr>
      <w:r>
        <w:separator/>
      </w:r>
    </w:p>
  </w:footnote>
  <w:footnote w:type="continuationSeparator" w:id="0">
    <w:p w:rsidR="00AB0AD0" w:rsidRDefault="00AB0AD0" w:rsidP="002F729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96975"/>
    <w:multiLevelType w:val="hybridMultilevel"/>
    <w:tmpl w:val="81B0A3FA"/>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0C20643B"/>
    <w:multiLevelType w:val="hybridMultilevel"/>
    <w:tmpl w:val="28B04506"/>
    <w:lvl w:ilvl="0" w:tplc="6F86C684">
      <w:start w:val="1"/>
      <w:numFmt w:val="bullet"/>
      <w:lvlText w:val=""/>
      <w:lvlJc w:val="left"/>
      <w:pPr>
        <w:ind w:left="720" w:hanging="360"/>
      </w:pPr>
      <w:rPr>
        <w:rFonts w:ascii="Wingdings" w:hAnsi="Wingdings" w:hint="default"/>
        <w:color w:val="auto"/>
        <w:sz w:val="16"/>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0D6458AD"/>
    <w:multiLevelType w:val="hybridMultilevel"/>
    <w:tmpl w:val="576E86C8"/>
    <w:lvl w:ilvl="0" w:tplc="2F38F894">
      <w:start w:val="1"/>
      <w:numFmt w:val="bullet"/>
      <w:lvlText w:val=""/>
      <w:lvlJc w:val="left"/>
      <w:pPr>
        <w:tabs>
          <w:tab w:val="num" w:pos="720"/>
        </w:tabs>
        <w:ind w:left="720" w:hanging="360"/>
      </w:pPr>
      <w:rPr>
        <w:rFonts w:ascii="Wingdings" w:hAnsi="Wingdings" w:hint="default"/>
      </w:rPr>
    </w:lvl>
    <w:lvl w:ilvl="1" w:tplc="CBCE4A48" w:tentative="1">
      <w:start w:val="1"/>
      <w:numFmt w:val="bullet"/>
      <w:lvlText w:val=""/>
      <w:lvlJc w:val="left"/>
      <w:pPr>
        <w:tabs>
          <w:tab w:val="num" w:pos="1440"/>
        </w:tabs>
        <w:ind w:left="1440" w:hanging="360"/>
      </w:pPr>
      <w:rPr>
        <w:rFonts w:ascii="Wingdings" w:hAnsi="Wingdings" w:hint="default"/>
      </w:rPr>
    </w:lvl>
    <w:lvl w:ilvl="2" w:tplc="FA8EE472">
      <w:start w:val="1"/>
      <w:numFmt w:val="bullet"/>
      <w:lvlText w:val=""/>
      <w:lvlJc w:val="left"/>
      <w:pPr>
        <w:tabs>
          <w:tab w:val="num" w:pos="2160"/>
        </w:tabs>
        <w:ind w:left="2160" w:hanging="360"/>
      </w:pPr>
      <w:rPr>
        <w:rFonts w:ascii="Wingdings" w:hAnsi="Wingdings" w:hint="default"/>
      </w:rPr>
    </w:lvl>
    <w:lvl w:ilvl="3" w:tplc="82F09CF8" w:tentative="1">
      <w:start w:val="1"/>
      <w:numFmt w:val="bullet"/>
      <w:lvlText w:val=""/>
      <w:lvlJc w:val="left"/>
      <w:pPr>
        <w:tabs>
          <w:tab w:val="num" w:pos="2880"/>
        </w:tabs>
        <w:ind w:left="2880" w:hanging="360"/>
      </w:pPr>
      <w:rPr>
        <w:rFonts w:ascii="Wingdings" w:hAnsi="Wingdings" w:hint="default"/>
      </w:rPr>
    </w:lvl>
    <w:lvl w:ilvl="4" w:tplc="5068168A" w:tentative="1">
      <w:start w:val="1"/>
      <w:numFmt w:val="bullet"/>
      <w:lvlText w:val=""/>
      <w:lvlJc w:val="left"/>
      <w:pPr>
        <w:tabs>
          <w:tab w:val="num" w:pos="3600"/>
        </w:tabs>
        <w:ind w:left="3600" w:hanging="360"/>
      </w:pPr>
      <w:rPr>
        <w:rFonts w:ascii="Wingdings" w:hAnsi="Wingdings" w:hint="default"/>
      </w:rPr>
    </w:lvl>
    <w:lvl w:ilvl="5" w:tplc="F5A8BC96" w:tentative="1">
      <w:start w:val="1"/>
      <w:numFmt w:val="bullet"/>
      <w:lvlText w:val=""/>
      <w:lvlJc w:val="left"/>
      <w:pPr>
        <w:tabs>
          <w:tab w:val="num" w:pos="4320"/>
        </w:tabs>
        <w:ind w:left="4320" w:hanging="360"/>
      </w:pPr>
      <w:rPr>
        <w:rFonts w:ascii="Wingdings" w:hAnsi="Wingdings" w:hint="default"/>
      </w:rPr>
    </w:lvl>
    <w:lvl w:ilvl="6" w:tplc="56A2D73C" w:tentative="1">
      <w:start w:val="1"/>
      <w:numFmt w:val="bullet"/>
      <w:lvlText w:val=""/>
      <w:lvlJc w:val="left"/>
      <w:pPr>
        <w:tabs>
          <w:tab w:val="num" w:pos="5040"/>
        </w:tabs>
        <w:ind w:left="5040" w:hanging="360"/>
      </w:pPr>
      <w:rPr>
        <w:rFonts w:ascii="Wingdings" w:hAnsi="Wingdings" w:hint="default"/>
      </w:rPr>
    </w:lvl>
    <w:lvl w:ilvl="7" w:tplc="9274D16C" w:tentative="1">
      <w:start w:val="1"/>
      <w:numFmt w:val="bullet"/>
      <w:lvlText w:val=""/>
      <w:lvlJc w:val="left"/>
      <w:pPr>
        <w:tabs>
          <w:tab w:val="num" w:pos="5760"/>
        </w:tabs>
        <w:ind w:left="5760" w:hanging="360"/>
      </w:pPr>
      <w:rPr>
        <w:rFonts w:ascii="Wingdings" w:hAnsi="Wingdings" w:hint="default"/>
      </w:rPr>
    </w:lvl>
    <w:lvl w:ilvl="8" w:tplc="CEA08EDC"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B65057"/>
    <w:multiLevelType w:val="hybridMultilevel"/>
    <w:tmpl w:val="C35AD126"/>
    <w:lvl w:ilvl="0" w:tplc="2E061C88">
      <w:start w:val="1"/>
      <w:numFmt w:val="bullet"/>
      <w:lvlText w:val=""/>
      <w:lvlJc w:val="left"/>
      <w:pPr>
        <w:tabs>
          <w:tab w:val="num" w:pos="720"/>
        </w:tabs>
        <w:ind w:left="720" w:hanging="360"/>
      </w:pPr>
      <w:rPr>
        <w:rFonts w:ascii="Wingdings" w:hAnsi="Wingdings" w:hint="default"/>
      </w:rPr>
    </w:lvl>
    <w:lvl w:ilvl="1" w:tplc="EAEE54FC" w:tentative="1">
      <w:start w:val="1"/>
      <w:numFmt w:val="bullet"/>
      <w:lvlText w:val=""/>
      <w:lvlJc w:val="left"/>
      <w:pPr>
        <w:tabs>
          <w:tab w:val="num" w:pos="1440"/>
        </w:tabs>
        <w:ind w:left="1440" w:hanging="360"/>
      </w:pPr>
      <w:rPr>
        <w:rFonts w:ascii="Wingdings" w:hAnsi="Wingdings" w:hint="default"/>
      </w:rPr>
    </w:lvl>
    <w:lvl w:ilvl="2" w:tplc="9D986D40">
      <w:start w:val="1"/>
      <w:numFmt w:val="bullet"/>
      <w:lvlText w:val=""/>
      <w:lvlJc w:val="left"/>
      <w:pPr>
        <w:tabs>
          <w:tab w:val="num" w:pos="2160"/>
        </w:tabs>
        <w:ind w:left="2160" w:hanging="360"/>
      </w:pPr>
      <w:rPr>
        <w:rFonts w:ascii="Wingdings" w:hAnsi="Wingdings" w:hint="default"/>
      </w:rPr>
    </w:lvl>
    <w:lvl w:ilvl="3" w:tplc="C298F7C6" w:tentative="1">
      <w:start w:val="1"/>
      <w:numFmt w:val="bullet"/>
      <w:lvlText w:val=""/>
      <w:lvlJc w:val="left"/>
      <w:pPr>
        <w:tabs>
          <w:tab w:val="num" w:pos="2880"/>
        </w:tabs>
        <w:ind w:left="2880" w:hanging="360"/>
      </w:pPr>
      <w:rPr>
        <w:rFonts w:ascii="Wingdings" w:hAnsi="Wingdings" w:hint="default"/>
      </w:rPr>
    </w:lvl>
    <w:lvl w:ilvl="4" w:tplc="F4FAD2E8" w:tentative="1">
      <w:start w:val="1"/>
      <w:numFmt w:val="bullet"/>
      <w:lvlText w:val=""/>
      <w:lvlJc w:val="left"/>
      <w:pPr>
        <w:tabs>
          <w:tab w:val="num" w:pos="3600"/>
        </w:tabs>
        <w:ind w:left="3600" w:hanging="360"/>
      </w:pPr>
      <w:rPr>
        <w:rFonts w:ascii="Wingdings" w:hAnsi="Wingdings" w:hint="default"/>
      </w:rPr>
    </w:lvl>
    <w:lvl w:ilvl="5" w:tplc="9D5A08A4" w:tentative="1">
      <w:start w:val="1"/>
      <w:numFmt w:val="bullet"/>
      <w:lvlText w:val=""/>
      <w:lvlJc w:val="left"/>
      <w:pPr>
        <w:tabs>
          <w:tab w:val="num" w:pos="4320"/>
        </w:tabs>
        <w:ind w:left="4320" w:hanging="360"/>
      </w:pPr>
      <w:rPr>
        <w:rFonts w:ascii="Wingdings" w:hAnsi="Wingdings" w:hint="default"/>
      </w:rPr>
    </w:lvl>
    <w:lvl w:ilvl="6" w:tplc="C4D228C2" w:tentative="1">
      <w:start w:val="1"/>
      <w:numFmt w:val="bullet"/>
      <w:lvlText w:val=""/>
      <w:lvlJc w:val="left"/>
      <w:pPr>
        <w:tabs>
          <w:tab w:val="num" w:pos="5040"/>
        </w:tabs>
        <w:ind w:left="5040" w:hanging="360"/>
      </w:pPr>
      <w:rPr>
        <w:rFonts w:ascii="Wingdings" w:hAnsi="Wingdings" w:hint="default"/>
      </w:rPr>
    </w:lvl>
    <w:lvl w:ilvl="7" w:tplc="244CFF62" w:tentative="1">
      <w:start w:val="1"/>
      <w:numFmt w:val="bullet"/>
      <w:lvlText w:val=""/>
      <w:lvlJc w:val="left"/>
      <w:pPr>
        <w:tabs>
          <w:tab w:val="num" w:pos="5760"/>
        </w:tabs>
        <w:ind w:left="5760" w:hanging="360"/>
      </w:pPr>
      <w:rPr>
        <w:rFonts w:ascii="Wingdings" w:hAnsi="Wingdings" w:hint="default"/>
      </w:rPr>
    </w:lvl>
    <w:lvl w:ilvl="8" w:tplc="FC840312"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1762F2"/>
    <w:multiLevelType w:val="hybridMultilevel"/>
    <w:tmpl w:val="5644E32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18C166D8"/>
    <w:multiLevelType w:val="hybridMultilevel"/>
    <w:tmpl w:val="A6B27780"/>
    <w:lvl w:ilvl="0" w:tplc="8CA044F4">
      <w:numFmt w:val="bullet"/>
      <w:lvlText w:val="-"/>
      <w:lvlJc w:val="left"/>
      <w:pPr>
        <w:ind w:left="720" w:hanging="360"/>
      </w:pPr>
      <w:rPr>
        <w:rFonts w:ascii="Calibri" w:eastAsiaTheme="minorHAnsi" w:hAnsi="Calibri" w:cstheme="minorBidi" w:hint="default"/>
        <w:i w:val="0"/>
      </w:rPr>
    </w:lvl>
    <w:lvl w:ilvl="1" w:tplc="04180003" w:tentative="1">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255432BE"/>
    <w:multiLevelType w:val="hybridMultilevel"/>
    <w:tmpl w:val="F558BE52"/>
    <w:lvl w:ilvl="0" w:tplc="C272099C">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5A72115"/>
    <w:multiLevelType w:val="hybridMultilevel"/>
    <w:tmpl w:val="B9BE2550"/>
    <w:lvl w:ilvl="0" w:tplc="0418000D">
      <w:start w:val="1"/>
      <w:numFmt w:val="bullet"/>
      <w:lvlText w:val=""/>
      <w:lvlJc w:val="left"/>
      <w:pPr>
        <w:ind w:left="765" w:hanging="360"/>
      </w:pPr>
      <w:rPr>
        <w:rFonts w:ascii="Wingdings" w:hAnsi="Wingdings" w:hint="default"/>
      </w:rPr>
    </w:lvl>
    <w:lvl w:ilvl="1" w:tplc="04180003" w:tentative="1">
      <w:start w:val="1"/>
      <w:numFmt w:val="bullet"/>
      <w:lvlText w:val="o"/>
      <w:lvlJc w:val="left"/>
      <w:pPr>
        <w:ind w:left="1485" w:hanging="360"/>
      </w:pPr>
      <w:rPr>
        <w:rFonts w:ascii="Courier New" w:hAnsi="Courier New" w:cs="Courier New" w:hint="default"/>
      </w:rPr>
    </w:lvl>
    <w:lvl w:ilvl="2" w:tplc="04180005" w:tentative="1">
      <w:start w:val="1"/>
      <w:numFmt w:val="bullet"/>
      <w:lvlText w:val=""/>
      <w:lvlJc w:val="left"/>
      <w:pPr>
        <w:ind w:left="2205" w:hanging="360"/>
      </w:pPr>
      <w:rPr>
        <w:rFonts w:ascii="Wingdings" w:hAnsi="Wingdings" w:hint="default"/>
      </w:rPr>
    </w:lvl>
    <w:lvl w:ilvl="3" w:tplc="04180001" w:tentative="1">
      <w:start w:val="1"/>
      <w:numFmt w:val="bullet"/>
      <w:lvlText w:val=""/>
      <w:lvlJc w:val="left"/>
      <w:pPr>
        <w:ind w:left="2925" w:hanging="360"/>
      </w:pPr>
      <w:rPr>
        <w:rFonts w:ascii="Symbol" w:hAnsi="Symbol" w:hint="default"/>
      </w:rPr>
    </w:lvl>
    <w:lvl w:ilvl="4" w:tplc="04180003" w:tentative="1">
      <w:start w:val="1"/>
      <w:numFmt w:val="bullet"/>
      <w:lvlText w:val="o"/>
      <w:lvlJc w:val="left"/>
      <w:pPr>
        <w:ind w:left="3645" w:hanging="360"/>
      </w:pPr>
      <w:rPr>
        <w:rFonts w:ascii="Courier New" w:hAnsi="Courier New" w:cs="Courier New" w:hint="default"/>
      </w:rPr>
    </w:lvl>
    <w:lvl w:ilvl="5" w:tplc="04180005" w:tentative="1">
      <w:start w:val="1"/>
      <w:numFmt w:val="bullet"/>
      <w:lvlText w:val=""/>
      <w:lvlJc w:val="left"/>
      <w:pPr>
        <w:ind w:left="4365" w:hanging="360"/>
      </w:pPr>
      <w:rPr>
        <w:rFonts w:ascii="Wingdings" w:hAnsi="Wingdings" w:hint="default"/>
      </w:rPr>
    </w:lvl>
    <w:lvl w:ilvl="6" w:tplc="04180001" w:tentative="1">
      <w:start w:val="1"/>
      <w:numFmt w:val="bullet"/>
      <w:lvlText w:val=""/>
      <w:lvlJc w:val="left"/>
      <w:pPr>
        <w:ind w:left="5085" w:hanging="360"/>
      </w:pPr>
      <w:rPr>
        <w:rFonts w:ascii="Symbol" w:hAnsi="Symbol" w:hint="default"/>
      </w:rPr>
    </w:lvl>
    <w:lvl w:ilvl="7" w:tplc="04180003" w:tentative="1">
      <w:start w:val="1"/>
      <w:numFmt w:val="bullet"/>
      <w:lvlText w:val="o"/>
      <w:lvlJc w:val="left"/>
      <w:pPr>
        <w:ind w:left="5805" w:hanging="360"/>
      </w:pPr>
      <w:rPr>
        <w:rFonts w:ascii="Courier New" w:hAnsi="Courier New" w:cs="Courier New" w:hint="default"/>
      </w:rPr>
    </w:lvl>
    <w:lvl w:ilvl="8" w:tplc="04180005" w:tentative="1">
      <w:start w:val="1"/>
      <w:numFmt w:val="bullet"/>
      <w:lvlText w:val=""/>
      <w:lvlJc w:val="left"/>
      <w:pPr>
        <w:ind w:left="6525" w:hanging="360"/>
      </w:pPr>
      <w:rPr>
        <w:rFonts w:ascii="Wingdings" w:hAnsi="Wingdings" w:hint="default"/>
      </w:rPr>
    </w:lvl>
  </w:abstractNum>
  <w:abstractNum w:abstractNumId="8" w15:restartNumberingAfterBreak="0">
    <w:nsid w:val="29E31A2A"/>
    <w:multiLevelType w:val="hybridMultilevel"/>
    <w:tmpl w:val="033ED414"/>
    <w:lvl w:ilvl="0" w:tplc="0418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2A6773B5"/>
    <w:multiLevelType w:val="hybridMultilevel"/>
    <w:tmpl w:val="ADD68CA8"/>
    <w:lvl w:ilvl="0" w:tplc="F22AC2A4">
      <w:start w:val="2"/>
      <w:numFmt w:val="bullet"/>
      <w:lvlText w:val="-"/>
      <w:lvlJc w:val="left"/>
      <w:pPr>
        <w:ind w:left="720" w:hanging="360"/>
      </w:pPr>
      <w:rPr>
        <w:rFonts w:ascii="Calibri" w:eastAsiaTheme="minorHAnsi" w:hAnsi="Calibri" w:cstheme="minorHAns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2A8C69F5"/>
    <w:multiLevelType w:val="hybridMultilevel"/>
    <w:tmpl w:val="6B02B4AA"/>
    <w:lvl w:ilvl="0" w:tplc="4E56A494">
      <w:start w:val="1"/>
      <w:numFmt w:val="bullet"/>
      <w:lvlText w:val=""/>
      <w:lvlJc w:val="left"/>
      <w:pPr>
        <w:tabs>
          <w:tab w:val="num" w:pos="720"/>
        </w:tabs>
        <w:ind w:left="720" w:hanging="360"/>
      </w:pPr>
      <w:rPr>
        <w:rFonts w:ascii="Wingdings" w:hAnsi="Wingdings" w:hint="default"/>
      </w:rPr>
    </w:lvl>
    <w:lvl w:ilvl="1" w:tplc="71DEC5FC" w:tentative="1">
      <w:start w:val="1"/>
      <w:numFmt w:val="bullet"/>
      <w:lvlText w:val=""/>
      <w:lvlJc w:val="left"/>
      <w:pPr>
        <w:tabs>
          <w:tab w:val="num" w:pos="1440"/>
        </w:tabs>
        <w:ind w:left="1440" w:hanging="360"/>
      </w:pPr>
      <w:rPr>
        <w:rFonts w:ascii="Wingdings" w:hAnsi="Wingdings" w:hint="default"/>
      </w:rPr>
    </w:lvl>
    <w:lvl w:ilvl="2" w:tplc="DCBA5708" w:tentative="1">
      <w:start w:val="1"/>
      <w:numFmt w:val="bullet"/>
      <w:lvlText w:val=""/>
      <w:lvlJc w:val="left"/>
      <w:pPr>
        <w:tabs>
          <w:tab w:val="num" w:pos="2160"/>
        </w:tabs>
        <w:ind w:left="2160" w:hanging="360"/>
      </w:pPr>
      <w:rPr>
        <w:rFonts w:ascii="Wingdings" w:hAnsi="Wingdings" w:hint="default"/>
      </w:rPr>
    </w:lvl>
    <w:lvl w:ilvl="3" w:tplc="5B24E7C4" w:tentative="1">
      <w:start w:val="1"/>
      <w:numFmt w:val="bullet"/>
      <w:lvlText w:val=""/>
      <w:lvlJc w:val="left"/>
      <w:pPr>
        <w:tabs>
          <w:tab w:val="num" w:pos="2880"/>
        </w:tabs>
        <w:ind w:left="2880" w:hanging="360"/>
      </w:pPr>
      <w:rPr>
        <w:rFonts w:ascii="Wingdings" w:hAnsi="Wingdings" w:hint="default"/>
      </w:rPr>
    </w:lvl>
    <w:lvl w:ilvl="4" w:tplc="02D88A6C" w:tentative="1">
      <w:start w:val="1"/>
      <w:numFmt w:val="bullet"/>
      <w:lvlText w:val=""/>
      <w:lvlJc w:val="left"/>
      <w:pPr>
        <w:tabs>
          <w:tab w:val="num" w:pos="3600"/>
        </w:tabs>
        <w:ind w:left="3600" w:hanging="360"/>
      </w:pPr>
      <w:rPr>
        <w:rFonts w:ascii="Wingdings" w:hAnsi="Wingdings" w:hint="default"/>
      </w:rPr>
    </w:lvl>
    <w:lvl w:ilvl="5" w:tplc="C962397C" w:tentative="1">
      <w:start w:val="1"/>
      <w:numFmt w:val="bullet"/>
      <w:lvlText w:val=""/>
      <w:lvlJc w:val="left"/>
      <w:pPr>
        <w:tabs>
          <w:tab w:val="num" w:pos="4320"/>
        </w:tabs>
        <w:ind w:left="4320" w:hanging="360"/>
      </w:pPr>
      <w:rPr>
        <w:rFonts w:ascii="Wingdings" w:hAnsi="Wingdings" w:hint="default"/>
      </w:rPr>
    </w:lvl>
    <w:lvl w:ilvl="6" w:tplc="B58AE670" w:tentative="1">
      <w:start w:val="1"/>
      <w:numFmt w:val="bullet"/>
      <w:lvlText w:val=""/>
      <w:lvlJc w:val="left"/>
      <w:pPr>
        <w:tabs>
          <w:tab w:val="num" w:pos="5040"/>
        </w:tabs>
        <w:ind w:left="5040" w:hanging="360"/>
      </w:pPr>
      <w:rPr>
        <w:rFonts w:ascii="Wingdings" w:hAnsi="Wingdings" w:hint="default"/>
      </w:rPr>
    </w:lvl>
    <w:lvl w:ilvl="7" w:tplc="E862A258" w:tentative="1">
      <w:start w:val="1"/>
      <w:numFmt w:val="bullet"/>
      <w:lvlText w:val=""/>
      <w:lvlJc w:val="left"/>
      <w:pPr>
        <w:tabs>
          <w:tab w:val="num" w:pos="5760"/>
        </w:tabs>
        <w:ind w:left="5760" w:hanging="360"/>
      </w:pPr>
      <w:rPr>
        <w:rFonts w:ascii="Wingdings" w:hAnsi="Wingdings" w:hint="default"/>
      </w:rPr>
    </w:lvl>
    <w:lvl w:ilvl="8" w:tplc="737A998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18A2A43"/>
    <w:multiLevelType w:val="hybridMultilevel"/>
    <w:tmpl w:val="7BFE487E"/>
    <w:lvl w:ilvl="0" w:tplc="790C5C26">
      <w:start w:val="7"/>
      <w:numFmt w:val="bullet"/>
      <w:lvlText w:val="-"/>
      <w:lvlJc w:val="left"/>
      <w:pPr>
        <w:ind w:left="720" w:hanging="360"/>
      </w:pPr>
      <w:rPr>
        <w:rFonts w:ascii="Calibri" w:eastAsiaTheme="minorHAnsi" w:hAnsi="Calibri" w:cstheme="minorBid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3CC05640"/>
    <w:multiLevelType w:val="hybridMultilevel"/>
    <w:tmpl w:val="4FC487A8"/>
    <w:lvl w:ilvl="0" w:tplc="B1489A72">
      <w:start w:val="1"/>
      <w:numFmt w:val="bullet"/>
      <w:lvlText w:val="-"/>
      <w:lvlJc w:val="left"/>
      <w:pPr>
        <w:tabs>
          <w:tab w:val="num" w:pos="720"/>
        </w:tabs>
        <w:ind w:left="720" w:hanging="360"/>
      </w:pPr>
      <w:rPr>
        <w:rFonts w:ascii="Times New Roman" w:hAnsi="Times New Roman" w:hint="default"/>
      </w:rPr>
    </w:lvl>
    <w:lvl w:ilvl="1" w:tplc="B616DEC0" w:tentative="1">
      <w:start w:val="1"/>
      <w:numFmt w:val="bullet"/>
      <w:lvlText w:val="-"/>
      <w:lvlJc w:val="left"/>
      <w:pPr>
        <w:tabs>
          <w:tab w:val="num" w:pos="1440"/>
        </w:tabs>
        <w:ind w:left="1440" w:hanging="360"/>
      </w:pPr>
      <w:rPr>
        <w:rFonts w:ascii="Times New Roman" w:hAnsi="Times New Roman" w:hint="default"/>
      </w:rPr>
    </w:lvl>
    <w:lvl w:ilvl="2" w:tplc="0504BF36" w:tentative="1">
      <w:start w:val="1"/>
      <w:numFmt w:val="bullet"/>
      <w:lvlText w:val="-"/>
      <w:lvlJc w:val="left"/>
      <w:pPr>
        <w:tabs>
          <w:tab w:val="num" w:pos="2160"/>
        </w:tabs>
        <w:ind w:left="2160" w:hanging="360"/>
      </w:pPr>
      <w:rPr>
        <w:rFonts w:ascii="Times New Roman" w:hAnsi="Times New Roman" w:hint="default"/>
      </w:rPr>
    </w:lvl>
    <w:lvl w:ilvl="3" w:tplc="FCAE2994" w:tentative="1">
      <w:start w:val="1"/>
      <w:numFmt w:val="bullet"/>
      <w:lvlText w:val="-"/>
      <w:lvlJc w:val="left"/>
      <w:pPr>
        <w:tabs>
          <w:tab w:val="num" w:pos="2880"/>
        </w:tabs>
        <w:ind w:left="2880" w:hanging="360"/>
      </w:pPr>
      <w:rPr>
        <w:rFonts w:ascii="Times New Roman" w:hAnsi="Times New Roman" w:hint="default"/>
      </w:rPr>
    </w:lvl>
    <w:lvl w:ilvl="4" w:tplc="7554B92E">
      <w:start w:val="1"/>
      <w:numFmt w:val="bullet"/>
      <w:lvlText w:val="-"/>
      <w:lvlJc w:val="left"/>
      <w:pPr>
        <w:tabs>
          <w:tab w:val="num" w:pos="3600"/>
        </w:tabs>
        <w:ind w:left="3600" w:hanging="360"/>
      </w:pPr>
      <w:rPr>
        <w:rFonts w:ascii="Times New Roman" w:hAnsi="Times New Roman" w:hint="default"/>
      </w:rPr>
    </w:lvl>
    <w:lvl w:ilvl="5" w:tplc="A0A6A304" w:tentative="1">
      <w:start w:val="1"/>
      <w:numFmt w:val="bullet"/>
      <w:lvlText w:val="-"/>
      <w:lvlJc w:val="left"/>
      <w:pPr>
        <w:tabs>
          <w:tab w:val="num" w:pos="4320"/>
        </w:tabs>
        <w:ind w:left="4320" w:hanging="360"/>
      </w:pPr>
      <w:rPr>
        <w:rFonts w:ascii="Times New Roman" w:hAnsi="Times New Roman" w:hint="default"/>
      </w:rPr>
    </w:lvl>
    <w:lvl w:ilvl="6" w:tplc="7D28ECDE" w:tentative="1">
      <w:start w:val="1"/>
      <w:numFmt w:val="bullet"/>
      <w:lvlText w:val="-"/>
      <w:lvlJc w:val="left"/>
      <w:pPr>
        <w:tabs>
          <w:tab w:val="num" w:pos="5040"/>
        </w:tabs>
        <w:ind w:left="5040" w:hanging="360"/>
      </w:pPr>
      <w:rPr>
        <w:rFonts w:ascii="Times New Roman" w:hAnsi="Times New Roman" w:hint="default"/>
      </w:rPr>
    </w:lvl>
    <w:lvl w:ilvl="7" w:tplc="A9781268" w:tentative="1">
      <w:start w:val="1"/>
      <w:numFmt w:val="bullet"/>
      <w:lvlText w:val="-"/>
      <w:lvlJc w:val="left"/>
      <w:pPr>
        <w:tabs>
          <w:tab w:val="num" w:pos="5760"/>
        </w:tabs>
        <w:ind w:left="5760" w:hanging="360"/>
      </w:pPr>
      <w:rPr>
        <w:rFonts w:ascii="Times New Roman" w:hAnsi="Times New Roman" w:hint="default"/>
      </w:rPr>
    </w:lvl>
    <w:lvl w:ilvl="8" w:tplc="A7945314"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46BD763C"/>
    <w:multiLevelType w:val="hybridMultilevel"/>
    <w:tmpl w:val="7CBE2582"/>
    <w:lvl w:ilvl="0" w:tplc="3ECA5570">
      <w:start w:val="1"/>
      <w:numFmt w:val="bullet"/>
      <w:lvlText w:val=""/>
      <w:lvlJc w:val="left"/>
      <w:pPr>
        <w:tabs>
          <w:tab w:val="num" w:pos="720"/>
        </w:tabs>
        <w:ind w:left="720" w:hanging="360"/>
      </w:pPr>
      <w:rPr>
        <w:rFonts w:ascii="Wingdings" w:hAnsi="Wingdings" w:hint="default"/>
      </w:rPr>
    </w:lvl>
    <w:lvl w:ilvl="1" w:tplc="09DA691C" w:tentative="1">
      <w:start w:val="1"/>
      <w:numFmt w:val="bullet"/>
      <w:lvlText w:val=""/>
      <w:lvlJc w:val="left"/>
      <w:pPr>
        <w:tabs>
          <w:tab w:val="num" w:pos="1440"/>
        </w:tabs>
        <w:ind w:left="1440" w:hanging="360"/>
      </w:pPr>
      <w:rPr>
        <w:rFonts w:ascii="Wingdings" w:hAnsi="Wingdings" w:hint="default"/>
      </w:rPr>
    </w:lvl>
    <w:lvl w:ilvl="2" w:tplc="C4F8EC42">
      <w:start w:val="1"/>
      <w:numFmt w:val="bullet"/>
      <w:lvlText w:val=""/>
      <w:lvlJc w:val="left"/>
      <w:pPr>
        <w:tabs>
          <w:tab w:val="num" w:pos="2160"/>
        </w:tabs>
        <w:ind w:left="2160" w:hanging="360"/>
      </w:pPr>
      <w:rPr>
        <w:rFonts w:ascii="Wingdings" w:hAnsi="Wingdings" w:hint="default"/>
      </w:rPr>
    </w:lvl>
    <w:lvl w:ilvl="3" w:tplc="2D3EFEA8" w:tentative="1">
      <w:start w:val="1"/>
      <w:numFmt w:val="bullet"/>
      <w:lvlText w:val=""/>
      <w:lvlJc w:val="left"/>
      <w:pPr>
        <w:tabs>
          <w:tab w:val="num" w:pos="2880"/>
        </w:tabs>
        <w:ind w:left="2880" w:hanging="360"/>
      </w:pPr>
      <w:rPr>
        <w:rFonts w:ascii="Wingdings" w:hAnsi="Wingdings" w:hint="default"/>
      </w:rPr>
    </w:lvl>
    <w:lvl w:ilvl="4" w:tplc="2D78AAC4" w:tentative="1">
      <w:start w:val="1"/>
      <w:numFmt w:val="bullet"/>
      <w:lvlText w:val=""/>
      <w:lvlJc w:val="left"/>
      <w:pPr>
        <w:tabs>
          <w:tab w:val="num" w:pos="3600"/>
        </w:tabs>
        <w:ind w:left="3600" w:hanging="360"/>
      </w:pPr>
      <w:rPr>
        <w:rFonts w:ascii="Wingdings" w:hAnsi="Wingdings" w:hint="default"/>
      </w:rPr>
    </w:lvl>
    <w:lvl w:ilvl="5" w:tplc="9AFC557A" w:tentative="1">
      <w:start w:val="1"/>
      <w:numFmt w:val="bullet"/>
      <w:lvlText w:val=""/>
      <w:lvlJc w:val="left"/>
      <w:pPr>
        <w:tabs>
          <w:tab w:val="num" w:pos="4320"/>
        </w:tabs>
        <w:ind w:left="4320" w:hanging="360"/>
      </w:pPr>
      <w:rPr>
        <w:rFonts w:ascii="Wingdings" w:hAnsi="Wingdings" w:hint="default"/>
      </w:rPr>
    </w:lvl>
    <w:lvl w:ilvl="6" w:tplc="B0B8EEC0" w:tentative="1">
      <w:start w:val="1"/>
      <w:numFmt w:val="bullet"/>
      <w:lvlText w:val=""/>
      <w:lvlJc w:val="left"/>
      <w:pPr>
        <w:tabs>
          <w:tab w:val="num" w:pos="5040"/>
        </w:tabs>
        <w:ind w:left="5040" w:hanging="360"/>
      </w:pPr>
      <w:rPr>
        <w:rFonts w:ascii="Wingdings" w:hAnsi="Wingdings" w:hint="default"/>
      </w:rPr>
    </w:lvl>
    <w:lvl w:ilvl="7" w:tplc="EA4E331C" w:tentative="1">
      <w:start w:val="1"/>
      <w:numFmt w:val="bullet"/>
      <w:lvlText w:val=""/>
      <w:lvlJc w:val="left"/>
      <w:pPr>
        <w:tabs>
          <w:tab w:val="num" w:pos="5760"/>
        </w:tabs>
        <w:ind w:left="5760" w:hanging="360"/>
      </w:pPr>
      <w:rPr>
        <w:rFonts w:ascii="Wingdings" w:hAnsi="Wingdings" w:hint="default"/>
      </w:rPr>
    </w:lvl>
    <w:lvl w:ilvl="8" w:tplc="487AF672"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0502269"/>
    <w:multiLevelType w:val="hybridMultilevel"/>
    <w:tmpl w:val="9EAE1360"/>
    <w:lvl w:ilvl="0" w:tplc="F22AC2A4">
      <w:start w:val="2"/>
      <w:numFmt w:val="bullet"/>
      <w:lvlText w:val="-"/>
      <w:lvlJc w:val="left"/>
      <w:pPr>
        <w:ind w:left="720" w:hanging="360"/>
      </w:pPr>
      <w:rPr>
        <w:rFonts w:ascii="Calibri" w:eastAsiaTheme="minorHAnsi" w:hAnsi="Calibri" w:cstheme="minorHAns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681B2D2B"/>
    <w:multiLevelType w:val="hybridMultilevel"/>
    <w:tmpl w:val="193C5CCC"/>
    <w:lvl w:ilvl="0" w:tplc="0418000F">
      <w:start w:val="1"/>
      <w:numFmt w:val="decimal"/>
      <w:lvlText w:val="%1."/>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6BD22116"/>
    <w:multiLevelType w:val="hybridMultilevel"/>
    <w:tmpl w:val="FBEAD306"/>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79592C47"/>
    <w:multiLevelType w:val="hybridMultilevel"/>
    <w:tmpl w:val="A56A6422"/>
    <w:lvl w:ilvl="0" w:tplc="C69603A6">
      <w:start w:val="1"/>
      <w:numFmt w:val="bullet"/>
      <w:lvlText w:val="o"/>
      <w:lvlJc w:val="left"/>
      <w:pPr>
        <w:tabs>
          <w:tab w:val="num" w:pos="720"/>
        </w:tabs>
        <w:ind w:left="720" w:hanging="360"/>
      </w:pPr>
      <w:rPr>
        <w:rFonts w:ascii="Courier New" w:hAnsi="Courier New" w:hint="default"/>
      </w:rPr>
    </w:lvl>
    <w:lvl w:ilvl="1" w:tplc="491E692E" w:tentative="1">
      <w:start w:val="1"/>
      <w:numFmt w:val="bullet"/>
      <w:lvlText w:val="o"/>
      <w:lvlJc w:val="left"/>
      <w:pPr>
        <w:tabs>
          <w:tab w:val="num" w:pos="1440"/>
        </w:tabs>
        <w:ind w:left="1440" w:hanging="360"/>
      </w:pPr>
      <w:rPr>
        <w:rFonts w:ascii="Courier New" w:hAnsi="Courier New" w:hint="default"/>
      </w:rPr>
    </w:lvl>
    <w:lvl w:ilvl="2" w:tplc="8864E02E" w:tentative="1">
      <w:start w:val="1"/>
      <w:numFmt w:val="bullet"/>
      <w:lvlText w:val="o"/>
      <w:lvlJc w:val="left"/>
      <w:pPr>
        <w:tabs>
          <w:tab w:val="num" w:pos="2160"/>
        </w:tabs>
        <w:ind w:left="2160" w:hanging="360"/>
      </w:pPr>
      <w:rPr>
        <w:rFonts w:ascii="Courier New" w:hAnsi="Courier New" w:hint="default"/>
      </w:rPr>
    </w:lvl>
    <w:lvl w:ilvl="3" w:tplc="E7EAA30E">
      <w:start w:val="1"/>
      <w:numFmt w:val="bullet"/>
      <w:lvlText w:val="o"/>
      <w:lvlJc w:val="left"/>
      <w:pPr>
        <w:tabs>
          <w:tab w:val="num" w:pos="2880"/>
        </w:tabs>
        <w:ind w:left="2880" w:hanging="360"/>
      </w:pPr>
      <w:rPr>
        <w:rFonts w:ascii="Courier New" w:hAnsi="Courier New" w:hint="default"/>
      </w:rPr>
    </w:lvl>
    <w:lvl w:ilvl="4" w:tplc="E02C9788" w:tentative="1">
      <w:start w:val="1"/>
      <w:numFmt w:val="bullet"/>
      <w:lvlText w:val="o"/>
      <w:lvlJc w:val="left"/>
      <w:pPr>
        <w:tabs>
          <w:tab w:val="num" w:pos="3600"/>
        </w:tabs>
        <w:ind w:left="3600" w:hanging="360"/>
      </w:pPr>
      <w:rPr>
        <w:rFonts w:ascii="Courier New" w:hAnsi="Courier New" w:hint="default"/>
      </w:rPr>
    </w:lvl>
    <w:lvl w:ilvl="5" w:tplc="D09C8F50" w:tentative="1">
      <w:start w:val="1"/>
      <w:numFmt w:val="bullet"/>
      <w:lvlText w:val="o"/>
      <w:lvlJc w:val="left"/>
      <w:pPr>
        <w:tabs>
          <w:tab w:val="num" w:pos="4320"/>
        </w:tabs>
        <w:ind w:left="4320" w:hanging="360"/>
      </w:pPr>
      <w:rPr>
        <w:rFonts w:ascii="Courier New" w:hAnsi="Courier New" w:hint="default"/>
      </w:rPr>
    </w:lvl>
    <w:lvl w:ilvl="6" w:tplc="7E32D768" w:tentative="1">
      <w:start w:val="1"/>
      <w:numFmt w:val="bullet"/>
      <w:lvlText w:val="o"/>
      <w:lvlJc w:val="left"/>
      <w:pPr>
        <w:tabs>
          <w:tab w:val="num" w:pos="5040"/>
        </w:tabs>
        <w:ind w:left="5040" w:hanging="360"/>
      </w:pPr>
      <w:rPr>
        <w:rFonts w:ascii="Courier New" w:hAnsi="Courier New" w:hint="default"/>
      </w:rPr>
    </w:lvl>
    <w:lvl w:ilvl="7" w:tplc="46F48242" w:tentative="1">
      <w:start w:val="1"/>
      <w:numFmt w:val="bullet"/>
      <w:lvlText w:val="o"/>
      <w:lvlJc w:val="left"/>
      <w:pPr>
        <w:tabs>
          <w:tab w:val="num" w:pos="5760"/>
        </w:tabs>
        <w:ind w:left="5760" w:hanging="360"/>
      </w:pPr>
      <w:rPr>
        <w:rFonts w:ascii="Courier New" w:hAnsi="Courier New" w:hint="default"/>
      </w:rPr>
    </w:lvl>
    <w:lvl w:ilvl="8" w:tplc="B82E689A" w:tentative="1">
      <w:start w:val="1"/>
      <w:numFmt w:val="bullet"/>
      <w:lvlText w:val="o"/>
      <w:lvlJc w:val="left"/>
      <w:pPr>
        <w:tabs>
          <w:tab w:val="num" w:pos="6480"/>
        </w:tabs>
        <w:ind w:left="6480" w:hanging="360"/>
      </w:pPr>
      <w:rPr>
        <w:rFonts w:ascii="Courier New" w:hAnsi="Courier New" w:hint="default"/>
      </w:rPr>
    </w:lvl>
  </w:abstractNum>
  <w:abstractNum w:abstractNumId="18" w15:restartNumberingAfterBreak="0">
    <w:nsid w:val="79D10F8C"/>
    <w:multiLevelType w:val="hybridMultilevel"/>
    <w:tmpl w:val="B12EC712"/>
    <w:lvl w:ilvl="0" w:tplc="0418000B">
      <w:start w:val="1"/>
      <w:numFmt w:val="bullet"/>
      <w:lvlText w:val=""/>
      <w:lvlJc w:val="left"/>
      <w:pPr>
        <w:ind w:left="720" w:hanging="360"/>
      </w:pPr>
      <w:rPr>
        <w:rFonts w:ascii="Wingdings" w:hAnsi="Wingdings" w:hint="default"/>
        <w:b/>
        <w:i w:val="0"/>
      </w:rPr>
    </w:lvl>
    <w:lvl w:ilvl="1" w:tplc="E6D653D8">
      <w:numFmt w:val="bullet"/>
      <w:lvlText w:val=""/>
      <w:lvlJc w:val="left"/>
      <w:pPr>
        <w:ind w:left="1800" w:hanging="720"/>
      </w:pPr>
      <w:rPr>
        <w:rFonts w:ascii="Symbol" w:eastAsiaTheme="minorHAnsi" w:hAnsi="Symbol" w:cstheme="minorBidi"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4"/>
  </w:num>
  <w:num w:numId="2">
    <w:abstractNumId w:val="15"/>
  </w:num>
  <w:num w:numId="3">
    <w:abstractNumId w:val="6"/>
  </w:num>
  <w:num w:numId="4">
    <w:abstractNumId w:val="0"/>
  </w:num>
  <w:num w:numId="5">
    <w:abstractNumId w:val="16"/>
  </w:num>
  <w:num w:numId="6">
    <w:abstractNumId w:val="1"/>
  </w:num>
  <w:num w:numId="7">
    <w:abstractNumId w:val="7"/>
  </w:num>
  <w:num w:numId="8">
    <w:abstractNumId w:val="18"/>
  </w:num>
  <w:num w:numId="9">
    <w:abstractNumId w:val="11"/>
  </w:num>
  <w:num w:numId="10">
    <w:abstractNumId w:val="14"/>
  </w:num>
  <w:num w:numId="11">
    <w:abstractNumId w:val="10"/>
  </w:num>
  <w:num w:numId="12">
    <w:abstractNumId w:val="9"/>
  </w:num>
  <w:num w:numId="13">
    <w:abstractNumId w:val="8"/>
  </w:num>
  <w:num w:numId="14">
    <w:abstractNumId w:val="5"/>
  </w:num>
  <w:num w:numId="15">
    <w:abstractNumId w:val="17"/>
  </w:num>
  <w:num w:numId="16">
    <w:abstractNumId w:val="12"/>
  </w:num>
  <w:num w:numId="17">
    <w:abstractNumId w:val="13"/>
  </w:num>
  <w:num w:numId="18">
    <w:abstractNumId w:val="2"/>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99A"/>
    <w:rsid w:val="000077F2"/>
    <w:rsid w:val="00033762"/>
    <w:rsid w:val="000443A1"/>
    <w:rsid w:val="0005079A"/>
    <w:rsid w:val="00056888"/>
    <w:rsid w:val="00084950"/>
    <w:rsid w:val="000A3D46"/>
    <w:rsid w:val="000A78E7"/>
    <w:rsid w:val="000D6BE1"/>
    <w:rsid w:val="00195E3C"/>
    <w:rsid w:val="001A6EB4"/>
    <w:rsid w:val="001B4CA1"/>
    <w:rsid w:val="001B5DB7"/>
    <w:rsid w:val="001C3FBF"/>
    <w:rsid w:val="001D171D"/>
    <w:rsid w:val="001E02A6"/>
    <w:rsid w:val="001F5F9D"/>
    <w:rsid w:val="001F6659"/>
    <w:rsid w:val="00200BD6"/>
    <w:rsid w:val="0020674F"/>
    <w:rsid w:val="002503F6"/>
    <w:rsid w:val="00270B50"/>
    <w:rsid w:val="00291717"/>
    <w:rsid w:val="002952C2"/>
    <w:rsid w:val="0029550D"/>
    <w:rsid w:val="002A7356"/>
    <w:rsid w:val="002B6109"/>
    <w:rsid w:val="002C0E37"/>
    <w:rsid w:val="002F45E8"/>
    <w:rsid w:val="002F7291"/>
    <w:rsid w:val="00317C97"/>
    <w:rsid w:val="00317D3E"/>
    <w:rsid w:val="00334430"/>
    <w:rsid w:val="00337883"/>
    <w:rsid w:val="003449A8"/>
    <w:rsid w:val="003468E7"/>
    <w:rsid w:val="0035748E"/>
    <w:rsid w:val="00387822"/>
    <w:rsid w:val="003A39B4"/>
    <w:rsid w:val="003A6A0C"/>
    <w:rsid w:val="003B38FD"/>
    <w:rsid w:val="003F1F0C"/>
    <w:rsid w:val="003F28ED"/>
    <w:rsid w:val="00443097"/>
    <w:rsid w:val="00451199"/>
    <w:rsid w:val="0046794B"/>
    <w:rsid w:val="00480F0F"/>
    <w:rsid w:val="004C70D7"/>
    <w:rsid w:val="004E0D32"/>
    <w:rsid w:val="00501867"/>
    <w:rsid w:val="00502E33"/>
    <w:rsid w:val="00530644"/>
    <w:rsid w:val="00531765"/>
    <w:rsid w:val="005325E6"/>
    <w:rsid w:val="00540734"/>
    <w:rsid w:val="00545186"/>
    <w:rsid w:val="0056781A"/>
    <w:rsid w:val="00574D83"/>
    <w:rsid w:val="00577A6B"/>
    <w:rsid w:val="00584BF5"/>
    <w:rsid w:val="005A5256"/>
    <w:rsid w:val="005C1C9B"/>
    <w:rsid w:val="0061492A"/>
    <w:rsid w:val="006204CB"/>
    <w:rsid w:val="006301C4"/>
    <w:rsid w:val="006402ED"/>
    <w:rsid w:val="006B5EAF"/>
    <w:rsid w:val="006C0AFD"/>
    <w:rsid w:val="006D1906"/>
    <w:rsid w:val="006D4E8D"/>
    <w:rsid w:val="006E0C2A"/>
    <w:rsid w:val="00705C91"/>
    <w:rsid w:val="007557BE"/>
    <w:rsid w:val="0077182D"/>
    <w:rsid w:val="007A32F3"/>
    <w:rsid w:val="007B5037"/>
    <w:rsid w:val="007D0B7E"/>
    <w:rsid w:val="007E18EE"/>
    <w:rsid w:val="007E5AE4"/>
    <w:rsid w:val="008037B9"/>
    <w:rsid w:val="0081442A"/>
    <w:rsid w:val="008164C1"/>
    <w:rsid w:val="00827AC9"/>
    <w:rsid w:val="008312D8"/>
    <w:rsid w:val="008525D4"/>
    <w:rsid w:val="00856DE2"/>
    <w:rsid w:val="00882ADA"/>
    <w:rsid w:val="00886FF2"/>
    <w:rsid w:val="00893915"/>
    <w:rsid w:val="008B7E7D"/>
    <w:rsid w:val="008C4643"/>
    <w:rsid w:val="008E1189"/>
    <w:rsid w:val="008F40C0"/>
    <w:rsid w:val="0092077C"/>
    <w:rsid w:val="00944DF7"/>
    <w:rsid w:val="009735F7"/>
    <w:rsid w:val="0098134A"/>
    <w:rsid w:val="00990E53"/>
    <w:rsid w:val="009A1CF1"/>
    <w:rsid w:val="009A4CCE"/>
    <w:rsid w:val="009B1DD5"/>
    <w:rsid w:val="009C3E32"/>
    <w:rsid w:val="009D48A1"/>
    <w:rsid w:val="009F1140"/>
    <w:rsid w:val="009F28B6"/>
    <w:rsid w:val="00A0329F"/>
    <w:rsid w:val="00A07D56"/>
    <w:rsid w:val="00A10DB1"/>
    <w:rsid w:val="00A25C3C"/>
    <w:rsid w:val="00A26949"/>
    <w:rsid w:val="00A4651E"/>
    <w:rsid w:val="00AA586B"/>
    <w:rsid w:val="00AB0AD0"/>
    <w:rsid w:val="00AB4858"/>
    <w:rsid w:val="00AE334C"/>
    <w:rsid w:val="00AF1F44"/>
    <w:rsid w:val="00B213D8"/>
    <w:rsid w:val="00B25D34"/>
    <w:rsid w:val="00B63024"/>
    <w:rsid w:val="00B80446"/>
    <w:rsid w:val="00B805F2"/>
    <w:rsid w:val="00B923C0"/>
    <w:rsid w:val="00BB4DFA"/>
    <w:rsid w:val="00BB6D65"/>
    <w:rsid w:val="00BE1ECB"/>
    <w:rsid w:val="00C31D08"/>
    <w:rsid w:val="00C37210"/>
    <w:rsid w:val="00C3722B"/>
    <w:rsid w:val="00C46E4C"/>
    <w:rsid w:val="00C5421E"/>
    <w:rsid w:val="00C85757"/>
    <w:rsid w:val="00C867EB"/>
    <w:rsid w:val="00CA7C0E"/>
    <w:rsid w:val="00CD356C"/>
    <w:rsid w:val="00CE621D"/>
    <w:rsid w:val="00CF1B02"/>
    <w:rsid w:val="00D034AB"/>
    <w:rsid w:val="00D10EAB"/>
    <w:rsid w:val="00D10F6D"/>
    <w:rsid w:val="00D20C1E"/>
    <w:rsid w:val="00D33ED3"/>
    <w:rsid w:val="00D37F94"/>
    <w:rsid w:val="00D75B0A"/>
    <w:rsid w:val="00D9599A"/>
    <w:rsid w:val="00DA4131"/>
    <w:rsid w:val="00DB65D6"/>
    <w:rsid w:val="00DC0F6F"/>
    <w:rsid w:val="00DD3858"/>
    <w:rsid w:val="00DD67CC"/>
    <w:rsid w:val="00DE590A"/>
    <w:rsid w:val="00E57A46"/>
    <w:rsid w:val="00EB1CBD"/>
    <w:rsid w:val="00ED7546"/>
    <w:rsid w:val="00ED7577"/>
    <w:rsid w:val="00EE62C6"/>
    <w:rsid w:val="00F1059B"/>
    <w:rsid w:val="00F177FB"/>
    <w:rsid w:val="00F418B3"/>
    <w:rsid w:val="00F674A7"/>
    <w:rsid w:val="00F76BF4"/>
    <w:rsid w:val="00FC5560"/>
    <w:rsid w:val="00FE4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CCF72D-DF32-4BFC-B25E-C1FD0C6D8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599A"/>
    <w:rPr>
      <w:lang w:val="ro-RO"/>
    </w:rPr>
  </w:style>
  <w:style w:type="paragraph" w:styleId="Heading1">
    <w:name w:val="heading 1"/>
    <w:basedOn w:val="Normal"/>
    <w:next w:val="Normal"/>
    <w:link w:val="Heading1Char"/>
    <w:uiPriority w:val="9"/>
    <w:qFormat/>
    <w:rsid w:val="00D9599A"/>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599A"/>
    <w:rPr>
      <w:rFonts w:asciiTheme="majorHAnsi" w:eastAsiaTheme="majorEastAsia" w:hAnsiTheme="majorHAnsi" w:cstheme="majorBidi"/>
      <w:b/>
      <w:bCs/>
      <w:color w:val="2E74B5" w:themeColor="accent1" w:themeShade="BF"/>
      <w:sz w:val="28"/>
      <w:szCs w:val="28"/>
      <w:lang w:val="ro-RO"/>
    </w:rPr>
  </w:style>
  <w:style w:type="paragraph" w:styleId="ListParagraph">
    <w:name w:val="List Paragraph"/>
    <w:aliases w:val="Normal bullet 2,List Paragraph1,body 2,List Paragraph11,Bullet 1,Akapit z listą BS,Outlines a.b.c.,List_Paragraph,Multilevel para_II,Akapit z lista BS"/>
    <w:basedOn w:val="Normal"/>
    <w:link w:val="ListParagraphChar"/>
    <w:uiPriority w:val="34"/>
    <w:qFormat/>
    <w:rsid w:val="00D9599A"/>
    <w:pPr>
      <w:ind w:left="720"/>
      <w:contextualSpacing/>
    </w:pPr>
  </w:style>
  <w:style w:type="character" w:styleId="Hyperlink">
    <w:name w:val="Hyperlink"/>
    <w:basedOn w:val="DefaultParagraphFont"/>
    <w:uiPriority w:val="99"/>
    <w:unhideWhenUsed/>
    <w:rsid w:val="00D9599A"/>
    <w:rPr>
      <w:color w:val="0563C1" w:themeColor="hyperlink"/>
      <w:u w:val="single"/>
    </w:rPr>
  </w:style>
  <w:style w:type="paragraph" w:styleId="NormalWeb">
    <w:name w:val="Normal (Web)"/>
    <w:basedOn w:val="Normal"/>
    <w:uiPriority w:val="99"/>
    <w:unhideWhenUsed/>
    <w:rsid w:val="00D9599A"/>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customStyle="1" w:styleId="ListParagraphChar">
    <w:name w:val="List Paragraph Char"/>
    <w:aliases w:val="Normal bullet 2 Char,List Paragraph1 Char,body 2 Char,List Paragraph11 Char,Bullet 1 Char,Akapit z listą BS Char,Outlines a.b.c. Char,List_Paragraph Char,Multilevel para_II Char,Akapit z lista BS Char"/>
    <w:link w:val="ListParagraph"/>
    <w:locked/>
    <w:rsid w:val="00D9599A"/>
    <w:rPr>
      <w:lang w:val="ro-RO"/>
    </w:rPr>
  </w:style>
  <w:style w:type="paragraph" w:styleId="Header">
    <w:name w:val="header"/>
    <w:basedOn w:val="Normal"/>
    <w:link w:val="HeaderChar"/>
    <w:uiPriority w:val="99"/>
    <w:unhideWhenUsed/>
    <w:rsid w:val="002F72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7291"/>
    <w:rPr>
      <w:lang w:val="ro-RO"/>
    </w:rPr>
  </w:style>
  <w:style w:type="paragraph" w:styleId="Footer">
    <w:name w:val="footer"/>
    <w:basedOn w:val="Normal"/>
    <w:link w:val="FooterChar"/>
    <w:uiPriority w:val="99"/>
    <w:unhideWhenUsed/>
    <w:rsid w:val="002F72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7291"/>
    <w:rPr>
      <w:lang w:val="ro-RO"/>
    </w:rPr>
  </w:style>
  <w:style w:type="paragraph" w:customStyle="1" w:styleId="yiv846204019msonormal">
    <w:name w:val="yiv846204019msonormal"/>
    <w:basedOn w:val="Normal"/>
    <w:uiPriority w:val="99"/>
    <w:rsid w:val="00195E3C"/>
    <w:pPr>
      <w:suppressAutoHyphens/>
      <w:spacing w:before="100" w:after="100" w:line="100" w:lineRule="atLeast"/>
    </w:pPr>
    <w:rPr>
      <w:rFonts w:ascii="Times New Roman" w:eastAsia="Times New Roman" w:hAnsi="Times New Roman" w:cs="Times New Roman"/>
      <w:kern w:val="1"/>
      <w:sz w:val="24"/>
      <w:szCs w:val="24"/>
      <w:lang w:val="en-GB" w:eastAsia="en-GB"/>
    </w:rPr>
  </w:style>
  <w:style w:type="paragraph" w:styleId="BalloonText">
    <w:name w:val="Balloon Text"/>
    <w:basedOn w:val="Normal"/>
    <w:link w:val="BalloonTextChar"/>
    <w:uiPriority w:val="99"/>
    <w:semiHidden/>
    <w:unhideWhenUsed/>
    <w:rsid w:val="00317D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D3E"/>
    <w:rPr>
      <w:rFonts w:ascii="Segoe UI" w:hAnsi="Segoe UI" w:cs="Segoe UI"/>
      <w:sz w:val="18"/>
      <w:szCs w:val="18"/>
      <w:lang w:val="ro-RO"/>
    </w:rPr>
  </w:style>
  <w:style w:type="character" w:styleId="CommentReference">
    <w:name w:val="annotation reference"/>
    <w:basedOn w:val="DefaultParagraphFont"/>
    <w:uiPriority w:val="99"/>
    <w:semiHidden/>
    <w:unhideWhenUsed/>
    <w:rsid w:val="000443A1"/>
    <w:rPr>
      <w:sz w:val="16"/>
      <w:szCs w:val="16"/>
    </w:rPr>
  </w:style>
  <w:style w:type="paragraph" w:styleId="CommentText">
    <w:name w:val="annotation text"/>
    <w:basedOn w:val="Normal"/>
    <w:link w:val="CommentTextChar"/>
    <w:uiPriority w:val="99"/>
    <w:semiHidden/>
    <w:unhideWhenUsed/>
    <w:rsid w:val="000443A1"/>
    <w:pPr>
      <w:spacing w:line="240" w:lineRule="auto"/>
    </w:pPr>
    <w:rPr>
      <w:sz w:val="20"/>
      <w:szCs w:val="20"/>
    </w:rPr>
  </w:style>
  <w:style w:type="character" w:customStyle="1" w:styleId="CommentTextChar">
    <w:name w:val="Comment Text Char"/>
    <w:basedOn w:val="DefaultParagraphFont"/>
    <w:link w:val="CommentText"/>
    <w:uiPriority w:val="99"/>
    <w:semiHidden/>
    <w:rsid w:val="000443A1"/>
    <w:rPr>
      <w:sz w:val="20"/>
      <w:szCs w:val="20"/>
      <w:lang w:val="ro-RO"/>
    </w:rPr>
  </w:style>
  <w:style w:type="paragraph" w:styleId="CommentSubject">
    <w:name w:val="annotation subject"/>
    <w:basedOn w:val="CommentText"/>
    <w:next w:val="CommentText"/>
    <w:link w:val="CommentSubjectChar"/>
    <w:uiPriority w:val="99"/>
    <w:semiHidden/>
    <w:unhideWhenUsed/>
    <w:rsid w:val="000443A1"/>
    <w:rPr>
      <w:b/>
      <w:bCs/>
    </w:rPr>
  </w:style>
  <w:style w:type="character" w:customStyle="1" w:styleId="CommentSubjectChar">
    <w:name w:val="Comment Subject Char"/>
    <w:basedOn w:val="CommentTextChar"/>
    <w:link w:val="CommentSubject"/>
    <w:uiPriority w:val="99"/>
    <w:semiHidden/>
    <w:rsid w:val="000443A1"/>
    <w:rPr>
      <w:b/>
      <w:bCs/>
      <w:sz w:val="20"/>
      <w:szCs w:val="20"/>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034289">
      <w:bodyDiv w:val="1"/>
      <w:marLeft w:val="0"/>
      <w:marRight w:val="0"/>
      <w:marTop w:val="0"/>
      <w:marBottom w:val="0"/>
      <w:divBdr>
        <w:top w:val="none" w:sz="0" w:space="0" w:color="auto"/>
        <w:left w:val="none" w:sz="0" w:space="0" w:color="auto"/>
        <w:bottom w:val="none" w:sz="0" w:space="0" w:color="auto"/>
        <w:right w:val="none" w:sz="0" w:space="0" w:color="auto"/>
      </w:divBdr>
      <w:divsChild>
        <w:div w:id="324480742">
          <w:marLeft w:val="1166"/>
          <w:marRight w:val="0"/>
          <w:marTop w:val="25"/>
          <w:marBottom w:val="0"/>
          <w:divBdr>
            <w:top w:val="none" w:sz="0" w:space="0" w:color="auto"/>
            <w:left w:val="none" w:sz="0" w:space="0" w:color="auto"/>
            <w:bottom w:val="none" w:sz="0" w:space="0" w:color="auto"/>
            <w:right w:val="none" w:sz="0" w:space="0" w:color="auto"/>
          </w:divBdr>
        </w:div>
        <w:div w:id="604504197">
          <w:marLeft w:val="1166"/>
          <w:marRight w:val="0"/>
          <w:marTop w:val="25"/>
          <w:marBottom w:val="0"/>
          <w:divBdr>
            <w:top w:val="none" w:sz="0" w:space="0" w:color="auto"/>
            <w:left w:val="none" w:sz="0" w:space="0" w:color="auto"/>
            <w:bottom w:val="none" w:sz="0" w:space="0" w:color="auto"/>
            <w:right w:val="none" w:sz="0" w:space="0" w:color="auto"/>
          </w:divBdr>
        </w:div>
        <w:div w:id="543446992">
          <w:marLeft w:val="1166"/>
          <w:marRight w:val="0"/>
          <w:marTop w:val="25"/>
          <w:marBottom w:val="0"/>
          <w:divBdr>
            <w:top w:val="none" w:sz="0" w:space="0" w:color="auto"/>
            <w:left w:val="none" w:sz="0" w:space="0" w:color="auto"/>
            <w:bottom w:val="none" w:sz="0" w:space="0" w:color="auto"/>
            <w:right w:val="none" w:sz="0" w:space="0" w:color="auto"/>
          </w:divBdr>
        </w:div>
        <w:div w:id="1145662942">
          <w:marLeft w:val="1166"/>
          <w:marRight w:val="0"/>
          <w:marTop w:val="25"/>
          <w:marBottom w:val="0"/>
          <w:divBdr>
            <w:top w:val="none" w:sz="0" w:space="0" w:color="auto"/>
            <w:left w:val="none" w:sz="0" w:space="0" w:color="auto"/>
            <w:bottom w:val="none" w:sz="0" w:space="0" w:color="auto"/>
            <w:right w:val="none" w:sz="0" w:space="0" w:color="auto"/>
          </w:divBdr>
        </w:div>
      </w:divsChild>
    </w:div>
    <w:div w:id="440610416">
      <w:bodyDiv w:val="1"/>
      <w:marLeft w:val="0"/>
      <w:marRight w:val="0"/>
      <w:marTop w:val="0"/>
      <w:marBottom w:val="0"/>
      <w:divBdr>
        <w:top w:val="none" w:sz="0" w:space="0" w:color="auto"/>
        <w:left w:val="none" w:sz="0" w:space="0" w:color="auto"/>
        <w:bottom w:val="none" w:sz="0" w:space="0" w:color="auto"/>
        <w:right w:val="none" w:sz="0" w:space="0" w:color="auto"/>
      </w:divBdr>
      <w:divsChild>
        <w:div w:id="640577935">
          <w:marLeft w:val="2434"/>
          <w:marRight w:val="0"/>
          <w:marTop w:val="25"/>
          <w:marBottom w:val="0"/>
          <w:divBdr>
            <w:top w:val="none" w:sz="0" w:space="0" w:color="auto"/>
            <w:left w:val="none" w:sz="0" w:space="0" w:color="auto"/>
            <w:bottom w:val="none" w:sz="0" w:space="0" w:color="auto"/>
            <w:right w:val="none" w:sz="0" w:space="0" w:color="auto"/>
          </w:divBdr>
        </w:div>
        <w:div w:id="953562525">
          <w:marLeft w:val="2434"/>
          <w:marRight w:val="0"/>
          <w:marTop w:val="25"/>
          <w:marBottom w:val="0"/>
          <w:divBdr>
            <w:top w:val="none" w:sz="0" w:space="0" w:color="auto"/>
            <w:left w:val="none" w:sz="0" w:space="0" w:color="auto"/>
            <w:bottom w:val="none" w:sz="0" w:space="0" w:color="auto"/>
            <w:right w:val="none" w:sz="0" w:space="0" w:color="auto"/>
          </w:divBdr>
        </w:div>
        <w:div w:id="799302005">
          <w:marLeft w:val="2434"/>
          <w:marRight w:val="0"/>
          <w:marTop w:val="25"/>
          <w:marBottom w:val="0"/>
          <w:divBdr>
            <w:top w:val="none" w:sz="0" w:space="0" w:color="auto"/>
            <w:left w:val="none" w:sz="0" w:space="0" w:color="auto"/>
            <w:bottom w:val="none" w:sz="0" w:space="0" w:color="auto"/>
            <w:right w:val="none" w:sz="0" w:space="0" w:color="auto"/>
          </w:divBdr>
        </w:div>
        <w:div w:id="2044674637">
          <w:marLeft w:val="2434"/>
          <w:marRight w:val="0"/>
          <w:marTop w:val="25"/>
          <w:marBottom w:val="0"/>
          <w:divBdr>
            <w:top w:val="none" w:sz="0" w:space="0" w:color="auto"/>
            <w:left w:val="none" w:sz="0" w:space="0" w:color="auto"/>
            <w:bottom w:val="none" w:sz="0" w:space="0" w:color="auto"/>
            <w:right w:val="none" w:sz="0" w:space="0" w:color="auto"/>
          </w:divBdr>
        </w:div>
      </w:divsChild>
    </w:div>
    <w:div w:id="627660201">
      <w:bodyDiv w:val="1"/>
      <w:marLeft w:val="0"/>
      <w:marRight w:val="0"/>
      <w:marTop w:val="0"/>
      <w:marBottom w:val="0"/>
      <w:divBdr>
        <w:top w:val="none" w:sz="0" w:space="0" w:color="auto"/>
        <w:left w:val="none" w:sz="0" w:space="0" w:color="auto"/>
        <w:bottom w:val="none" w:sz="0" w:space="0" w:color="auto"/>
        <w:right w:val="none" w:sz="0" w:space="0" w:color="auto"/>
      </w:divBdr>
      <w:divsChild>
        <w:div w:id="1005789496">
          <w:marLeft w:val="1714"/>
          <w:marRight w:val="0"/>
          <w:marTop w:val="25"/>
          <w:marBottom w:val="0"/>
          <w:divBdr>
            <w:top w:val="none" w:sz="0" w:space="0" w:color="auto"/>
            <w:left w:val="none" w:sz="0" w:space="0" w:color="auto"/>
            <w:bottom w:val="none" w:sz="0" w:space="0" w:color="auto"/>
            <w:right w:val="none" w:sz="0" w:space="0" w:color="auto"/>
          </w:divBdr>
        </w:div>
        <w:div w:id="1186406799">
          <w:marLeft w:val="1714"/>
          <w:marRight w:val="0"/>
          <w:marTop w:val="25"/>
          <w:marBottom w:val="0"/>
          <w:divBdr>
            <w:top w:val="none" w:sz="0" w:space="0" w:color="auto"/>
            <w:left w:val="none" w:sz="0" w:space="0" w:color="auto"/>
            <w:bottom w:val="none" w:sz="0" w:space="0" w:color="auto"/>
            <w:right w:val="none" w:sz="0" w:space="0" w:color="auto"/>
          </w:divBdr>
        </w:div>
        <w:div w:id="881132856">
          <w:marLeft w:val="1714"/>
          <w:marRight w:val="0"/>
          <w:marTop w:val="25"/>
          <w:marBottom w:val="0"/>
          <w:divBdr>
            <w:top w:val="none" w:sz="0" w:space="0" w:color="auto"/>
            <w:left w:val="none" w:sz="0" w:space="0" w:color="auto"/>
            <w:bottom w:val="none" w:sz="0" w:space="0" w:color="auto"/>
            <w:right w:val="none" w:sz="0" w:space="0" w:color="auto"/>
          </w:divBdr>
        </w:div>
        <w:div w:id="393892021">
          <w:marLeft w:val="1714"/>
          <w:marRight w:val="0"/>
          <w:marTop w:val="25"/>
          <w:marBottom w:val="0"/>
          <w:divBdr>
            <w:top w:val="none" w:sz="0" w:space="0" w:color="auto"/>
            <w:left w:val="none" w:sz="0" w:space="0" w:color="auto"/>
            <w:bottom w:val="none" w:sz="0" w:space="0" w:color="auto"/>
            <w:right w:val="none" w:sz="0" w:space="0" w:color="auto"/>
          </w:divBdr>
        </w:div>
        <w:div w:id="1865440150">
          <w:marLeft w:val="1714"/>
          <w:marRight w:val="0"/>
          <w:marTop w:val="25"/>
          <w:marBottom w:val="0"/>
          <w:divBdr>
            <w:top w:val="none" w:sz="0" w:space="0" w:color="auto"/>
            <w:left w:val="none" w:sz="0" w:space="0" w:color="auto"/>
            <w:bottom w:val="none" w:sz="0" w:space="0" w:color="auto"/>
            <w:right w:val="none" w:sz="0" w:space="0" w:color="auto"/>
          </w:divBdr>
        </w:div>
      </w:divsChild>
    </w:div>
    <w:div w:id="690842232">
      <w:bodyDiv w:val="1"/>
      <w:marLeft w:val="0"/>
      <w:marRight w:val="0"/>
      <w:marTop w:val="0"/>
      <w:marBottom w:val="0"/>
      <w:divBdr>
        <w:top w:val="none" w:sz="0" w:space="0" w:color="auto"/>
        <w:left w:val="none" w:sz="0" w:space="0" w:color="auto"/>
        <w:bottom w:val="none" w:sz="0" w:space="0" w:color="auto"/>
        <w:right w:val="none" w:sz="0" w:space="0" w:color="auto"/>
      </w:divBdr>
    </w:div>
    <w:div w:id="959803854">
      <w:bodyDiv w:val="1"/>
      <w:marLeft w:val="0"/>
      <w:marRight w:val="0"/>
      <w:marTop w:val="0"/>
      <w:marBottom w:val="0"/>
      <w:divBdr>
        <w:top w:val="none" w:sz="0" w:space="0" w:color="auto"/>
        <w:left w:val="none" w:sz="0" w:space="0" w:color="auto"/>
        <w:bottom w:val="none" w:sz="0" w:space="0" w:color="auto"/>
        <w:right w:val="none" w:sz="0" w:space="0" w:color="auto"/>
      </w:divBdr>
      <w:divsChild>
        <w:div w:id="694430231">
          <w:marLeft w:val="1714"/>
          <w:marRight w:val="0"/>
          <w:marTop w:val="25"/>
          <w:marBottom w:val="0"/>
          <w:divBdr>
            <w:top w:val="none" w:sz="0" w:space="0" w:color="auto"/>
            <w:left w:val="none" w:sz="0" w:space="0" w:color="auto"/>
            <w:bottom w:val="none" w:sz="0" w:space="0" w:color="auto"/>
            <w:right w:val="none" w:sz="0" w:space="0" w:color="auto"/>
          </w:divBdr>
        </w:div>
      </w:divsChild>
    </w:div>
    <w:div w:id="1316881712">
      <w:bodyDiv w:val="1"/>
      <w:marLeft w:val="0"/>
      <w:marRight w:val="0"/>
      <w:marTop w:val="0"/>
      <w:marBottom w:val="0"/>
      <w:divBdr>
        <w:top w:val="none" w:sz="0" w:space="0" w:color="auto"/>
        <w:left w:val="none" w:sz="0" w:space="0" w:color="auto"/>
        <w:bottom w:val="none" w:sz="0" w:space="0" w:color="auto"/>
        <w:right w:val="none" w:sz="0" w:space="0" w:color="auto"/>
      </w:divBdr>
      <w:divsChild>
        <w:div w:id="591819549">
          <w:marLeft w:val="1166"/>
          <w:marRight w:val="0"/>
          <w:marTop w:val="25"/>
          <w:marBottom w:val="240"/>
          <w:divBdr>
            <w:top w:val="none" w:sz="0" w:space="0" w:color="auto"/>
            <w:left w:val="none" w:sz="0" w:space="0" w:color="auto"/>
            <w:bottom w:val="none" w:sz="0" w:space="0" w:color="auto"/>
            <w:right w:val="none" w:sz="0" w:space="0" w:color="auto"/>
          </w:divBdr>
        </w:div>
      </w:divsChild>
    </w:div>
    <w:div w:id="1491211645">
      <w:bodyDiv w:val="1"/>
      <w:marLeft w:val="0"/>
      <w:marRight w:val="0"/>
      <w:marTop w:val="0"/>
      <w:marBottom w:val="0"/>
      <w:divBdr>
        <w:top w:val="none" w:sz="0" w:space="0" w:color="auto"/>
        <w:left w:val="none" w:sz="0" w:space="0" w:color="auto"/>
        <w:bottom w:val="none" w:sz="0" w:space="0" w:color="auto"/>
        <w:right w:val="none" w:sz="0" w:space="0" w:color="auto"/>
      </w:divBdr>
      <w:divsChild>
        <w:div w:id="1231230313">
          <w:marLeft w:val="1166"/>
          <w:marRight w:val="0"/>
          <w:marTop w:val="25"/>
          <w:marBottom w:val="240"/>
          <w:divBdr>
            <w:top w:val="none" w:sz="0" w:space="0" w:color="auto"/>
            <w:left w:val="none" w:sz="0" w:space="0" w:color="auto"/>
            <w:bottom w:val="none" w:sz="0" w:space="0" w:color="auto"/>
            <w:right w:val="none" w:sz="0" w:space="0" w:color="auto"/>
          </w:divBdr>
        </w:div>
      </w:divsChild>
    </w:div>
    <w:div w:id="1736119335">
      <w:bodyDiv w:val="1"/>
      <w:marLeft w:val="0"/>
      <w:marRight w:val="0"/>
      <w:marTop w:val="0"/>
      <w:marBottom w:val="0"/>
      <w:divBdr>
        <w:top w:val="none" w:sz="0" w:space="0" w:color="auto"/>
        <w:left w:val="none" w:sz="0" w:space="0" w:color="auto"/>
        <w:bottom w:val="none" w:sz="0" w:space="0" w:color="auto"/>
        <w:right w:val="none" w:sz="0" w:space="0" w:color="auto"/>
      </w:divBdr>
      <w:divsChild>
        <w:div w:id="1387292719">
          <w:marLeft w:val="1166"/>
          <w:marRight w:val="0"/>
          <w:marTop w:val="25"/>
          <w:marBottom w:val="240"/>
          <w:divBdr>
            <w:top w:val="none" w:sz="0" w:space="0" w:color="auto"/>
            <w:left w:val="none" w:sz="0" w:space="0" w:color="auto"/>
            <w:bottom w:val="none" w:sz="0" w:space="0" w:color="auto"/>
            <w:right w:val="none" w:sz="0" w:space="0" w:color="auto"/>
          </w:divBdr>
        </w:div>
      </w:divsChild>
    </w:div>
    <w:div w:id="2143187178">
      <w:bodyDiv w:val="1"/>
      <w:marLeft w:val="0"/>
      <w:marRight w:val="0"/>
      <w:marTop w:val="0"/>
      <w:marBottom w:val="0"/>
      <w:divBdr>
        <w:top w:val="none" w:sz="0" w:space="0" w:color="auto"/>
        <w:left w:val="none" w:sz="0" w:space="0" w:color="auto"/>
        <w:bottom w:val="none" w:sz="0" w:space="0" w:color="auto"/>
        <w:right w:val="none" w:sz="0" w:space="0" w:color="auto"/>
      </w:divBdr>
      <w:divsChild>
        <w:div w:id="489449326">
          <w:marLeft w:val="446"/>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2082</Words>
  <Characters>11872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Jeanne Nica</dc:creator>
  <cp:lastModifiedBy>Alexandru Tascu</cp:lastModifiedBy>
  <cp:revision>2</cp:revision>
  <cp:lastPrinted>2017-06-22T09:14:00Z</cp:lastPrinted>
  <dcterms:created xsi:type="dcterms:W3CDTF">2018-07-11T07:46:00Z</dcterms:created>
  <dcterms:modified xsi:type="dcterms:W3CDTF">2018-07-11T07:46:00Z</dcterms:modified>
</cp:coreProperties>
</file>