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89B" w14:textId="2968FCAF" w:rsidR="006414EA" w:rsidRPr="006414EA" w:rsidRDefault="006414EA" w:rsidP="006414EA">
      <w:pPr>
        <w:spacing w:after="30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val="ro-RO"/>
          <w14:ligatures w14:val="none"/>
        </w:rPr>
        <w:t>Descriere proiect</w:t>
      </w:r>
    </w:p>
    <w:p w14:paraId="4BCBA18D" w14:textId="24E4FFF9" w:rsidR="00D35E9B" w:rsidRPr="006414EA" w:rsidRDefault="00D35E9B" w:rsidP="006414EA">
      <w:pPr>
        <w:spacing w:after="0" w:line="0" w:lineRule="atLeast"/>
        <w:jc w:val="center"/>
        <w:rPr>
          <w:rFonts w:ascii="Trebuchet MS" w:eastAsia="Trebuchet MS" w:hAnsi="Trebuchet MS" w:cs="Arial"/>
          <w:b/>
          <w:color w:val="141F25"/>
          <w:kern w:val="0"/>
          <w:sz w:val="24"/>
          <w:szCs w:val="24"/>
          <w:lang w:val="ro-RO" w:eastAsia="ro-RO"/>
          <w14:ligatures w14:val="none"/>
        </w:rPr>
      </w:pPr>
      <w:hyperlink r:id="rId7" w:tooltip="DESCRIERE PROIECT - „Centrul de Informare pentru Investiții Europene”, cod proiect 1.2.060 " w:history="1">
        <w:r w:rsidR="006414EA" w:rsidRPr="006414EA">
          <w:rPr>
            <w:rFonts w:ascii="Trebuchet MS" w:eastAsia="Trebuchet MS" w:hAnsi="Trebuchet MS" w:cs="Arial"/>
            <w:b/>
            <w:color w:val="141F25"/>
            <w:kern w:val="0"/>
            <w:sz w:val="24"/>
            <w:szCs w:val="24"/>
            <w:lang w:val="ro-RO" w:eastAsia="ro-RO"/>
            <w14:ligatures w14:val="none"/>
          </w:rPr>
          <w:t xml:space="preserve">  </w:t>
        </w:r>
        <w:r w:rsidR="006414EA" w:rsidRPr="006414EA">
          <w:rPr>
            <w:rFonts w:ascii="Trebuchet MS" w:eastAsia="Trebuchet MS" w:hAnsi="Trebuchet MS" w:cs="Arial"/>
            <w:b/>
            <w:color w:val="141F25"/>
            <w:kern w:val="0"/>
            <w:sz w:val="24"/>
            <w:szCs w:val="24"/>
            <w:lang w:val="ro-RO" w:eastAsia="ro-RO"/>
            <w14:ligatures w14:val="none"/>
          </w:rPr>
          <w:t>„</w:t>
        </w:r>
        <w:r w:rsidRPr="006414EA">
          <w:rPr>
            <w:rFonts w:ascii="Trebuchet MS" w:eastAsia="Trebuchet MS" w:hAnsi="Trebuchet MS" w:cs="Arial"/>
            <w:b/>
            <w:color w:val="141F25"/>
            <w:kern w:val="0"/>
            <w:sz w:val="24"/>
            <w:szCs w:val="24"/>
            <w:lang w:val="ro-RO" w:eastAsia="ro-RO"/>
            <w14:ligatures w14:val="none"/>
          </w:rPr>
          <w:t>Centrul de Informare pentru Investiții Europene”, cod proiect 1.2.060</w:t>
        </w:r>
      </w:hyperlink>
    </w:p>
    <w:p w14:paraId="0B03B3A1" w14:textId="77777777" w:rsidR="006414EA" w:rsidRPr="006414EA" w:rsidRDefault="006414EA" w:rsidP="006414EA">
      <w:pPr>
        <w:spacing w:after="0" w:line="0" w:lineRule="atLeast"/>
        <w:jc w:val="center"/>
        <w:rPr>
          <w:rFonts w:ascii="Trebuchet MS" w:eastAsia="Trebuchet MS" w:hAnsi="Trebuchet MS" w:cs="Arial"/>
          <w:b/>
          <w:color w:val="141F25"/>
          <w:kern w:val="0"/>
          <w:sz w:val="28"/>
          <w:szCs w:val="28"/>
          <w:lang w:val="ro-RO" w:eastAsia="ro-RO"/>
          <w14:ligatures w14:val="none"/>
        </w:rPr>
      </w:pPr>
    </w:p>
    <w:p w14:paraId="5E0189F8" w14:textId="77777777" w:rsidR="00D35E9B" w:rsidRPr="006414EA" w:rsidRDefault="00D35E9B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Serviciul Comunicare Instrumente Structurale din cadrul Ministerului Investițiilor și Proiectelor Europene,</w:t>
      </w:r>
      <w:r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 în calitate de beneficiar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, gestionează proiectul „Centrul de Informare pentru Investiții Europene”. Decizia de finanțare a fost semnată în data de 28.12.2017.</w:t>
      </w:r>
    </w:p>
    <w:p w14:paraId="7C16D092" w14:textId="469E5F68" w:rsidR="00D35E9B" w:rsidRPr="006414EA" w:rsidRDefault="00D35E9B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În cadrul Centrului de Informare</w:t>
      </w:r>
      <w:r w:rsidR="00A529D3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pentru Investiții Europene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="006414EA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este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îndeplinită atât funcția de informare (prin help-desk, call–center) și de promovare a fondurilor ESI 2014 – 2020, cât și funcția de ghișeu unic pentru IMM-uri, la nivelul Regiunii de Dezvoltare București-Ilfov, oferindu-le acestora servicii de informare/ consiliere de tip </w:t>
      </w:r>
      <w:r w:rsidRPr="006414EA">
        <w:rPr>
          <w:rFonts w:ascii="Trebuchet MS" w:eastAsia="Times New Roman" w:hAnsi="Trebuchet MS" w:cs="Times New Roman"/>
          <w:i/>
          <w:iCs/>
          <w:kern w:val="0"/>
          <w:sz w:val="24"/>
          <w:szCs w:val="24"/>
          <w:lang w:val="ro-RO"/>
          <w14:ligatures w14:val="none"/>
        </w:rPr>
        <w:t>one-stop shop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privind posibilitatea obținerii de finanțări complementare din alte programe/ mecanisme/ instrumente naţionale şi europene.</w:t>
      </w:r>
    </w:p>
    <w:p w14:paraId="124C7D4F" w14:textId="34E46F6A" w:rsidR="00D35E9B" w:rsidRPr="006414EA" w:rsidRDefault="00D35E9B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Obiectivul general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al proiectului este diseminarea eficientă în rândul publicului larg și a segmentelor de public țintă, la nivel național, a informațiilor referitoare la </w:t>
      </w:r>
      <w:r w:rsidR="0084591E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investițiile și finanțările europene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, naționale și extracomunitare, la modalitățile de accesare și beneficiile acestora pentru întreaga societate, contribuind la creșterea nivelului de conștientizare cu privire la rolul și contribuția Uniunii Europene la co-finanțarea proiectelor (inclusiv prioritățile politice ale UE și obiectivele politicii de coeziune).</w:t>
      </w:r>
    </w:p>
    <w:p w14:paraId="1B6FF460" w14:textId="41782136" w:rsidR="00D35E9B" w:rsidRPr="006414EA" w:rsidRDefault="00D35E9B" w:rsidP="006414EA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Obiectivele specifice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ale proiectului sunt: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  <w:t>- informarea la nivel național a publicului larg cu privire la oportunitățile oferite de fondurile ESI (help desk pentru publicul larg) și promovarea acestor fonduri;</w:t>
      </w:r>
      <w:r w:rsidR="0084591E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diseminarea informațiilor despre finanțarea UE 2014-2020 și 2021-2027 și despre toate activitățile Centrului și cele ale instituției relevante din perspectiva finanțării UE;  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  <w:t>- sprijinirea la nivel național a potențialilor beneficiari de fonduri ESI în identificarea surselor de finanțare potrivite nevoilor lor și în pregătirea de proiecte care sa îndeplinească cerințele necesare pentru a fi aprobate (help desk pentru potențialii beneficiari);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  <w:t>-furnizarea de servicii de tip ghișeu unic finanțări pentru IMM-uri;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  <w:t>- sprijinirea beneficiarilor în implementarea eficientă a proiectelor.</w:t>
      </w:r>
    </w:p>
    <w:p w14:paraId="30FED4F4" w14:textId="6A357480" w:rsidR="00D35E9B" w:rsidRPr="006414EA" w:rsidRDefault="00D35E9B" w:rsidP="00D35E9B">
      <w:pPr>
        <w:spacing w:after="15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Rezultate</w:t>
      </w:r>
      <w:r w:rsidR="006414EA"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le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prevăzute ale proiectului sunt următoarele: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  <w:t>- Centrul operaţional şi funcţional</w:t>
      </w:r>
      <w:r w:rsidR="00A529D3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;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  <w:t xml:space="preserve">- </w:t>
      </w:r>
      <w:r w:rsidR="00AB5119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20.7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00 solicitări de informatii soluţionate în perioada de activitate a Centrului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  <w:t>- portalul unic gestionat, actualizat, restructurat si dezvoltat;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  <w:t xml:space="preserve">- </w:t>
      </w:r>
      <w:r w:rsidR="00AB5119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211.400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sesiuni pe portal înregistrate în perioada de activitate a Centrului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  <w:t>- 12 campanii realizate online;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  <w:t>- 1200 seturi materiale promoţionale realizate şi distribuite</w:t>
      </w:r>
      <w:r w:rsidR="00A529D3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br/>
      </w:r>
    </w:p>
    <w:p w14:paraId="3B3C5275" w14:textId="151D0A1B" w:rsidR="00D35E9B" w:rsidRPr="006414EA" w:rsidRDefault="00D35E9B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lastRenderedPageBreak/>
        <w:t>Valoarea totală a proiectului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: </w:t>
      </w:r>
      <w:r w:rsidR="00AB5119"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345.560,86 </w:t>
      </w:r>
      <w:r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lei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, </w:t>
      </w:r>
      <w:r w:rsidR="006414EA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reprezentând și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valoarea eligibilă (respectiv </w:t>
      </w:r>
      <w:r w:rsidR="00AB5119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292.672,77 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lei din Fondul European de Dezvoltare Regională şi </w:t>
      </w:r>
      <w:r w:rsidR="009660AF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52.888,09</w:t>
      </w:r>
      <w:r w:rsidR="009660AF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lei - cofinanțare).</w:t>
      </w:r>
      <w:r w:rsidR="00AB5119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143426BA" w14:textId="23969142" w:rsidR="00D35E9B" w:rsidRPr="006414EA" w:rsidRDefault="00D35E9B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Durata proiectului</w:t>
      </w: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: 73 de luni, respectiv de la 1 decembrie 2017 până la 31 decembrie 2023.</w:t>
      </w:r>
    </w:p>
    <w:p w14:paraId="2FBE6757" w14:textId="35B2DA67" w:rsidR="00D35E9B" w:rsidRPr="006414EA" w:rsidRDefault="00D35E9B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color w:val="0077BB"/>
          <w:kern w:val="0"/>
          <w:sz w:val="24"/>
          <w:szCs w:val="24"/>
          <w:u w:val="single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Date de contact</w:t>
      </w:r>
      <w:r w:rsidR="006414EA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="006414EA" w:rsidRPr="006414EA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beneficiar: Șos. Bucuresti-Ploiesti, nr. 1 – 1B, Victoria Office Intrarea str. Menuetului, nr. 7, Sector 1, București Website: http://mfe.gov.ro/; </w:t>
      </w:r>
      <w:hyperlink r:id="rId8" w:history="1">
        <w:r w:rsidRPr="006414EA">
          <w:rPr>
            <w:rFonts w:ascii="Trebuchet MS" w:eastAsia="Times New Roman" w:hAnsi="Trebuchet MS" w:cs="Times New Roman"/>
            <w:color w:val="0077BB"/>
            <w:kern w:val="0"/>
            <w:sz w:val="24"/>
            <w:szCs w:val="24"/>
            <w:u w:val="single"/>
            <w:lang w:val="ro-RO"/>
            <w14:ligatures w14:val="none"/>
          </w:rPr>
          <w:t>contact.minister@mfe.gov.ro</w:t>
        </w:r>
      </w:hyperlink>
    </w:p>
    <w:p w14:paraId="65D5C947" w14:textId="77777777" w:rsidR="006414EA" w:rsidRPr="006414EA" w:rsidRDefault="006414EA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</w:p>
    <w:p w14:paraId="368F502B" w14:textId="77777777" w:rsidR="00D35E9B" w:rsidRPr="006414EA" w:rsidRDefault="00D35E9B" w:rsidP="006414EA">
      <w:pPr>
        <w:spacing w:after="150" w:line="240" w:lineRule="auto"/>
        <w:jc w:val="center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6414E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Proiect cofinanţat din Fondul European de Dezvoltare Regională prin Programul Operațional Asistență Tehnică 2014-2020</w:t>
      </w:r>
    </w:p>
    <w:p w14:paraId="7E1FEC59" w14:textId="77777777" w:rsidR="006414EA" w:rsidRPr="006414EA" w:rsidRDefault="006414EA" w:rsidP="00D35E9B">
      <w:pPr>
        <w:spacing w:after="150" w:line="240" w:lineRule="auto"/>
        <w:jc w:val="both"/>
        <w:rPr>
          <w:rFonts w:ascii="Trebuchet MS" w:hAnsi="Trebuchet MS"/>
          <w:lang w:val="ro-RO"/>
        </w:rPr>
      </w:pPr>
    </w:p>
    <w:p w14:paraId="089205CB" w14:textId="77777777" w:rsidR="006414EA" w:rsidRPr="006414EA" w:rsidRDefault="006414EA" w:rsidP="00D35E9B">
      <w:pPr>
        <w:spacing w:after="150" w:line="240" w:lineRule="auto"/>
        <w:jc w:val="both"/>
        <w:rPr>
          <w:rFonts w:ascii="Trebuchet MS" w:hAnsi="Trebuchet MS"/>
          <w:lang w:val="ro-RO"/>
        </w:rPr>
      </w:pPr>
    </w:p>
    <w:p w14:paraId="33035A1D" w14:textId="29BB1143" w:rsidR="00D35E9B" w:rsidRPr="006414EA" w:rsidRDefault="00000000" w:rsidP="00D35E9B">
      <w:pPr>
        <w:spacing w:after="15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hyperlink r:id="rId9" w:tgtFrame="_blank" w:history="1">
        <w:r w:rsidR="00D35E9B" w:rsidRPr="006414EA">
          <w:rPr>
            <w:rFonts w:ascii="Trebuchet MS" w:eastAsia="Times New Roman" w:hAnsi="Trebuchet MS" w:cs="Times New Roman"/>
            <w:color w:val="0077BB"/>
            <w:kern w:val="0"/>
            <w:sz w:val="24"/>
            <w:szCs w:val="24"/>
            <w:lang w:val="ro-RO"/>
            <w14:ligatures w14:val="none"/>
          </w:rPr>
          <w:t>De</w:t>
        </w:r>
        <w:r w:rsidR="00D35E9B" w:rsidRPr="006414EA">
          <w:rPr>
            <w:rFonts w:ascii="Trebuchet MS" w:eastAsia="Times New Roman" w:hAnsi="Trebuchet MS" w:cs="Times New Roman"/>
            <w:color w:val="0077BB"/>
            <w:kern w:val="0"/>
            <w:sz w:val="24"/>
            <w:szCs w:val="24"/>
            <w:lang w:val="ro-RO"/>
            <w14:ligatures w14:val="none"/>
          </w:rPr>
          <w:t>s</w:t>
        </w:r>
        <w:r w:rsidR="00D35E9B" w:rsidRPr="006414EA">
          <w:rPr>
            <w:rFonts w:ascii="Trebuchet MS" w:eastAsia="Times New Roman" w:hAnsi="Trebuchet MS" w:cs="Times New Roman"/>
            <w:color w:val="0077BB"/>
            <w:kern w:val="0"/>
            <w:sz w:val="24"/>
            <w:szCs w:val="24"/>
            <w:lang w:val="ro-RO"/>
            <w14:ligatures w14:val="none"/>
          </w:rPr>
          <w:t>criere inițială 05.02.2018</w:t>
        </w:r>
      </w:hyperlink>
    </w:p>
    <w:p w14:paraId="72A7B4E5" w14:textId="77777777" w:rsidR="003B3FC7" w:rsidRPr="006414EA" w:rsidRDefault="003B3FC7">
      <w:pPr>
        <w:rPr>
          <w:rFonts w:ascii="Trebuchet MS" w:hAnsi="Trebuchet MS"/>
          <w:lang w:val="ro-RO"/>
        </w:rPr>
      </w:pPr>
    </w:p>
    <w:p w14:paraId="5A4CB6FF" w14:textId="77777777" w:rsidR="00696013" w:rsidRPr="006414EA" w:rsidRDefault="00696013">
      <w:pPr>
        <w:rPr>
          <w:rFonts w:ascii="Trebuchet MS" w:hAnsi="Trebuchet MS"/>
          <w:lang w:val="ro-RO"/>
        </w:rPr>
      </w:pPr>
    </w:p>
    <w:p w14:paraId="66063493" w14:textId="79D157EB" w:rsidR="00696013" w:rsidRPr="006414EA" w:rsidRDefault="00696013">
      <w:pPr>
        <w:rPr>
          <w:rFonts w:ascii="Trebuchet MS" w:hAnsi="Trebuchet MS"/>
          <w:lang w:val="ro-RO"/>
        </w:rPr>
      </w:pPr>
    </w:p>
    <w:sectPr w:rsidR="00696013" w:rsidRPr="006414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EAA2" w14:textId="77777777" w:rsidR="00422EC7" w:rsidRDefault="00422EC7" w:rsidP="006414EA">
      <w:pPr>
        <w:spacing w:after="0" w:line="240" w:lineRule="auto"/>
      </w:pPr>
      <w:r>
        <w:separator/>
      </w:r>
    </w:p>
  </w:endnote>
  <w:endnote w:type="continuationSeparator" w:id="0">
    <w:p w14:paraId="6A627808" w14:textId="77777777" w:rsidR="00422EC7" w:rsidRDefault="00422EC7" w:rsidP="0064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0E4F" w14:textId="77777777" w:rsidR="00422EC7" w:rsidRDefault="00422EC7" w:rsidP="006414EA">
      <w:pPr>
        <w:spacing w:after="0" w:line="240" w:lineRule="auto"/>
      </w:pPr>
      <w:r>
        <w:separator/>
      </w:r>
    </w:p>
  </w:footnote>
  <w:footnote w:type="continuationSeparator" w:id="0">
    <w:p w14:paraId="06BF4347" w14:textId="77777777" w:rsidR="00422EC7" w:rsidRDefault="00422EC7" w:rsidP="0064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1705" w14:textId="34AD0A2C" w:rsidR="006414EA" w:rsidRDefault="006414EA">
    <w:pPr>
      <w:pStyle w:val="Header"/>
    </w:pPr>
    <w:r w:rsidRPr="00951B78">
      <w:rPr>
        <w:rFonts w:cs="Times New Roman"/>
        <w:noProof/>
      </w:rPr>
      <w:drawing>
        <wp:inline distT="0" distB="0" distL="0" distR="0" wp14:anchorId="6D6C04C3" wp14:editId="63FF9151">
          <wp:extent cx="5731510" cy="864657"/>
          <wp:effectExtent l="0" t="0" r="2540" b="0"/>
          <wp:docPr id="547925695" name="Picture 547925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FACBE" w14:textId="77777777" w:rsidR="006414EA" w:rsidRDefault="00641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08B"/>
    <w:multiLevelType w:val="hybridMultilevel"/>
    <w:tmpl w:val="676E5C3A"/>
    <w:lvl w:ilvl="0" w:tplc="52F4C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74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9B"/>
    <w:rsid w:val="000D49A7"/>
    <w:rsid w:val="003B3FC7"/>
    <w:rsid w:val="00422EC7"/>
    <w:rsid w:val="005F48D0"/>
    <w:rsid w:val="006414EA"/>
    <w:rsid w:val="00696013"/>
    <w:rsid w:val="0084591E"/>
    <w:rsid w:val="009660AF"/>
    <w:rsid w:val="00A529D3"/>
    <w:rsid w:val="00A6582E"/>
    <w:rsid w:val="00AB5119"/>
    <w:rsid w:val="00B87DD4"/>
    <w:rsid w:val="00C66441"/>
    <w:rsid w:val="00D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21E4"/>
  <w15:chartTrackingRefBased/>
  <w15:docId w15:val="{8EEE9A2C-93A4-4A6A-B311-E5F2F3DA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E9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35E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35E9B"/>
    <w:rPr>
      <w:b/>
      <w:bCs/>
    </w:rPr>
  </w:style>
  <w:style w:type="character" w:customStyle="1" w:styleId="wffiletext">
    <w:name w:val="wf_file_text"/>
    <w:basedOn w:val="DefaultParagraphFont"/>
    <w:rsid w:val="00D35E9B"/>
  </w:style>
  <w:style w:type="character" w:styleId="CommentReference">
    <w:name w:val="annotation reference"/>
    <w:basedOn w:val="DefaultParagraphFont"/>
    <w:uiPriority w:val="99"/>
    <w:semiHidden/>
    <w:unhideWhenUsed/>
    <w:rsid w:val="00AB5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1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5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EA"/>
  </w:style>
  <w:style w:type="paragraph" w:styleId="Footer">
    <w:name w:val="footer"/>
    <w:basedOn w:val="Normal"/>
    <w:link w:val="FooterChar"/>
    <w:uiPriority w:val="99"/>
    <w:unhideWhenUsed/>
    <w:rsid w:val="0064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minister@mfe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uri-ue.ro/anunturi-diverse/2388-descriere-proiect-centrul-national-de-informare-pentru-fonduri-europene-structurale-si-de-investitii-2014-2020-cod-proiect-1-2-0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onduri-ue.ro/images/files/Anunturi_Proiecte/2022/DESCRIERE_proiect_1_2_060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Mihaela Popescu</dc:creator>
  <cp:keywords/>
  <dc:description/>
  <cp:lastModifiedBy>Anca Mihaela Popescu</cp:lastModifiedBy>
  <cp:revision>3</cp:revision>
  <dcterms:created xsi:type="dcterms:W3CDTF">2024-03-18T08:27:00Z</dcterms:created>
  <dcterms:modified xsi:type="dcterms:W3CDTF">2024-03-18T08:51:00Z</dcterms:modified>
</cp:coreProperties>
</file>